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9C48" w14:textId="77777777" w:rsidR="00CD1632" w:rsidRPr="004466BC" w:rsidRDefault="00CD1632" w:rsidP="00CD1632">
      <w:pPr>
        <w:jc w:val="center"/>
        <w:rPr>
          <w:rFonts w:ascii="Arial" w:hAnsi="Arial" w:cs="Arial"/>
          <w:b/>
          <w:bCs/>
          <w:sz w:val="22"/>
          <w:szCs w:val="22"/>
          <w:u w:val="single"/>
        </w:rPr>
      </w:pPr>
      <w:r w:rsidRPr="004466BC">
        <w:rPr>
          <w:rFonts w:ascii="Arial" w:hAnsi="Arial" w:cs="Arial"/>
          <w:b/>
          <w:bCs/>
          <w:sz w:val="22"/>
          <w:szCs w:val="22"/>
          <w:u w:val="single"/>
        </w:rPr>
        <w:t>UK COVID-19 INQUIRY</w:t>
      </w:r>
    </w:p>
    <w:p w14:paraId="03906833" w14:textId="77777777" w:rsidR="00CD1632" w:rsidRPr="004466BC" w:rsidRDefault="00CD1632" w:rsidP="00CD1632">
      <w:pPr>
        <w:jc w:val="center"/>
        <w:rPr>
          <w:rFonts w:ascii="Arial" w:hAnsi="Arial" w:cs="Arial"/>
          <w:b/>
          <w:bCs/>
          <w:sz w:val="22"/>
          <w:szCs w:val="22"/>
          <w:u w:val="single"/>
        </w:rPr>
      </w:pPr>
      <w:r w:rsidRPr="004466BC">
        <w:rPr>
          <w:rFonts w:ascii="Arial" w:hAnsi="Arial" w:cs="Arial"/>
          <w:b/>
          <w:bCs/>
          <w:sz w:val="22"/>
          <w:szCs w:val="22"/>
          <w:u w:val="single"/>
        </w:rPr>
        <w:t>Before the Right Honourable Baroness Hallett D.B.E.</w:t>
      </w:r>
    </w:p>
    <w:p w14:paraId="55FA3189" w14:textId="77777777" w:rsidR="00CD1632" w:rsidRPr="004466BC" w:rsidRDefault="00CD1632" w:rsidP="00CD1632">
      <w:pPr>
        <w:jc w:val="center"/>
        <w:rPr>
          <w:rFonts w:ascii="Arial" w:hAnsi="Arial" w:cs="Arial"/>
          <w:b/>
          <w:bCs/>
          <w:sz w:val="22"/>
          <w:szCs w:val="22"/>
          <w:u w:val="single"/>
        </w:rPr>
      </w:pPr>
      <w:r w:rsidRPr="004466BC">
        <w:rPr>
          <w:rFonts w:ascii="Arial" w:hAnsi="Arial" w:cs="Arial"/>
          <w:b/>
          <w:bCs/>
          <w:sz w:val="22"/>
          <w:szCs w:val="22"/>
          <w:u w:val="single"/>
        </w:rPr>
        <w:t>CLOSING SUBMISSION IN MODULE 2C</w:t>
      </w:r>
    </w:p>
    <w:p w14:paraId="7A4B39C5" w14:textId="77777777" w:rsidR="00CD1632" w:rsidRPr="004466BC" w:rsidRDefault="00CD1632" w:rsidP="00CD1632">
      <w:pPr>
        <w:jc w:val="center"/>
        <w:rPr>
          <w:rFonts w:ascii="Arial" w:hAnsi="Arial" w:cs="Arial"/>
          <w:b/>
          <w:bCs/>
          <w:sz w:val="22"/>
          <w:szCs w:val="22"/>
          <w:u w:val="single"/>
        </w:rPr>
      </w:pPr>
      <w:r w:rsidRPr="004466BC">
        <w:rPr>
          <w:rFonts w:ascii="Arial" w:hAnsi="Arial" w:cs="Arial"/>
          <w:b/>
          <w:bCs/>
          <w:sz w:val="22"/>
          <w:szCs w:val="22"/>
          <w:u w:val="single"/>
        </w:rPr>
        <w:t xml:space="preserve">Made on behalf of the Department of Health </w:t>
      </w:r>
    </w:p>
    <w:p w14:paraId="32F43513" w14:textId="77777777" w:rsidR="00CD1632" w:rsidRPr="004466BC" w:rsidRDefault="00CD1632" w:rsidP="00CD1632">
      <w:pPr>
        <w:rPr>
          <w:rFonts w:ascii="Arial" w:hAnsi="Arial" w:cs="Arial"/>
          <w:sz w:val="22"/>
          <w:szCs w:val="22"/>
        </w:rPr>
      </w:pPr>
    </w:p>
    <w:p w14:paraId="5DA4F324" w14:textId="77777777" w:rsidR="00CD1632" w:rsidRPr="004466BC" w:rsidRDefault="00CD1632" w:rsidP="00CD1632">
      <w:pPr>
        <w:pStyle w:val="ListParagraph"/>
        <w:spacing w:line="276" w:lineRule="auto"/>
        <w:jc w:val="both"/>
        <w:rPr>
          <w:rFonts w:ascii="Arial" w:hAnsi="Arial" w:cs="Arial"/>
          <w:b/>
          <w:bCs/>
          <w:sz w:val="22"/>
          <w:szCs w:val="22"/>
          <w:u w:val="single"/>
        </w:rPr>
      </w:pPr>
      <w:r w:rsidRPr="004466BC">
        <w:rPr>
          <w:rFonts w:ascii="Arial" w:hAnsi="Arial" w:cs="Arial"/>
          <w:b/>
          <w:bCs/>
          <w:sz w:val="22"/>
          <w:szCs w:val="22"/>
          <w:u w:val="single"/>
        </w:rPr>
        <w:t xml:space="preserve">Introduction </w:t>
      </w:r>
    </w:p>
    <w:p w14:paraId="1C1092BB" w14:textId="77777777" w:rsidR="00CD1632" w:rsidRPr="004466BC" w:rsidRDefault="00CD1632" w:rsidP="00CD1632">
      <w:pPr>
        <w:pStyle w:val="NormalWeb"/>
        <w:numPr>
          <w:ilvl w:val="0"/>
          <w:numId w:val="7"/>
        </w:numPr>
        <w:shd w:val="clear" w:color="auto" w:fill="FFFFFF"/>
        <w:spacing w:before="100" w:beforeAutospacing="1" w:after="100" w:afterAutospacing="1" w:line="276" w:lineRule="auto"/>
        <w:jc w:val="both"/>
        <w:rPr>
          <w:rFonts w:ascii="Arial" w:hAnsi="Arial" w:cs="Arial"/>
        </w:rPr>
      </w:pPr>
      <w:r w:rsidRPr="004466BC">
        <w:rPr>
          <w:rFonts w:ascii="Arial" w:hAnsi="Arial" w:cs="Arial"/>
          <w:color w:val="000000" w:themeColor="text1"/>
        </w:rPr>
        <w:t xml:space="preserve">These written submissions </w:t>
      </w:r>
      <w:r w:rsidRPr="004466BC">
        <w:rPr>
          <w:rFonts w:ascii="Arial" w:hAnsi="Arial" w:cs="Arial"/>
        </w:rPr>
        <w:t>in respect of Module 2C of the Inquiry’s work are submitted on behalf of the Department of Health (</w:t>
      </w:r>
      <w:r>
        <w:rPr>
          <w:rFonts w:ascii="Arial" w:hAnsi="Arial" w:cs="Arial"/>
        </w:rPr>
        <w:t>‘</w:t>
      </w:r>
      <w:r w:rsidRPr="004466BC">
        <w:rPr>
          <w:rFonts w:ascii="Arial" w:hAnsi="Arial" w:cs="Arial"/>
        </w:rPr>
        <w:t>DoH</w:t>
      </w:r>
      <w:r>
        <w:rPr>
          <w:rFonts w:ascii="Arial" w:hAnsi="Arial" w:cs="Arial"/>
        </w:rPr>
        <w:t>’</w:t>
      </w:r>
      <w:r w:rsidRPr="004466BC">
        <w:rPr>
          <w:rFonts w:ascii="Arial" w:hAnsi="Arial" w:cs="Arial"/>
        </w:rPr>
        <w:t xml:space="preserve">), following the conclusion of the oral hearings on 16 May 2023. DoH has carefully listened to the evidence adduced during those oral </w:t>
      </w:r>
      <w:proofErr w:type="gramStart"/>
      <w:r w:rsidRPr="004466BC">
        <w:rPr>
          <w:rFonts w:ascii="Arial" w:hAnsi="Arial" w:cs="Arial"/>
        </w:rPr>
        <w:t>hearings, and</w:t>
      </w:r>
      <w:proofErr w:type="gramEnd"/>
      <w:r w:rsidRPr="004466BC">
        <w:rPr>
          <w:rFonts w:ascii="Arial" w:hAnsi="Arial" w:cs="Arial"/>
        </w:rPr>
        <w:t xml:space="preserve"> has taken the opportunity to reflect on issues when viewed through the lens of the facts and inferences that emerged over the course of those three weeks.  The purpose of these written submissions is, first, to explain, in slightly more detail some of the matters under consideration in Module 2C, the roles and responsibilities of DoH and, secondly, to address issues explored during the Module 2C oral evidence which pertain to the work of DoH, having had the chance to reflect on all of the evidence before the Inquiry in relation to Northern Ireland. </w:t>
      </w:r>
    </w:p>
    <w:p w14:paraId="42D9E3EE" w14:textId="77777777" w:rsidR="00CD1632" w:rsidRPr="004466BC" w:rsidRDefault="00CD1632" w:rsidP="00CD1632">
      <w:pPr>
        <w:pStyle w:val="ListParagraph"/>
        <w:spacing w:line="276" w:lineRule="auto"/>
        <w:jc w:val="both"/>
        <w:rPr>
          <w:rFonts w:ascii="Arial" w:hAnsi="Arial" w:cs="Arial"/>
          <w:b/>
          <w:bCs/>
          <w:sz w:val="22"/>
          <w:szCs w:val="22"/>
          <w:u w:val="single"/>
          <w:lang w:val="en-US"/>
        </w:rPr>
      </w:pPr>
      <w:r w:rsidRPr="004466BC">
        <w:rPr>
          <w:rFonts w:ascii="Arial" w:hAnsi="Arial" w:cs="Arial"/>
          <w:b/>
          <w:bCs/>
          <w:sz w:val="22"/>
          <w:szCs w:val="22"/>
          <w:u w:val="single"/>
          <w:lang w:val="en-US"/>
        </w:rPr>
        <w:t>Government Structure in Northern Ireland</w:t>
      </w:r>
    </w:p>
    <w:p w14:paraId="3C09ECB1" w14:textId="77777777" w:rsidR="00CD1632" w:rsidRPr="004466BC" w:rsidRDefault="00CD1632" w:rsidP="00CD1632">
      <w:pPr>
        <w:pStyle w:val="ListParagraph"/>
        <w:spacing w:line="276" w:lineRule="auto"/>
        <w:jc w:val="both"/>
        <w:rPr>
          <w:rFonts w:ascii="Arial" w:hAnsi="Arial" w:cs="Arial"/>
          <w:b/>
          <w:bCs/>
          <w:sz w:val="22"/>
          <w:szCs w:val="22"/>
          <w:u w:val="single"/>
          <w:lang w:val="en-US"/>
        </w:rPr>
      </w:pPr>
    </w:p>
    <w:p w14:paraId="63CA03DC" w14:textId="77777777" w:rsidR="00CD1632" w:rsidRPr="004466BC" w:rsidRDefault="00CD1632" w:rsidP="00CD1632">
      <w:pPr>
        <w:pStyle w:val="ListParagraph"/>
        <w:numPr>
          <w:ilvl w:val="0"/>
          <w:numId w:val="7"/>
        </w:numPr>
        <w:spacing w:line="276" w:lineRule="auto"/>
        <w:jc w:val="both"/>
        <w:rPr>
          <w:rFonts w:ascii="Arial" w:hAnsi="Arial" w:cs="Arial"/>
          <w:sz w:val="22"/>
          <w:szCs w:val="22"/>
          <w:lang w:val="en-US"/>
        </w:rPr>
      </w:pPr>
      <w:r w:rsidRPr="004466BC">
        <w:rPr>
          <w:rFonts w:ascii="Arial" w:hAnsi="Arial" w:cs="Arial"/>
          <w:sz w:val="22"/>
          <w:szCs w:val="22"/>
          <w:lang w:val="en-US"/>
        </w:rPr>
        <w:t xml:space="preserve">It is contended that in order to understand the actions taken in response of the Covid-19 pandemic, it is essential to understand the governmental structure in Northern Ireland.  The Northern Ireland Executive performs the governmental executive function in Northern Ireland. </w:t>
      </w:r>
    </w:p>
    <w:p w14:paraId="58030CA7" w14:textId="77777777" w:rsidR="00CD1632" w:rsidRPr="004466BC" w:rsidRDefault="00CD1632" w:rsidP="00CD1632">
      <w:pPr>
        <w:pStyle w:val="ListParagraph"/>
        <w:spacing w:line="276" w:lineRule="auto"/>
        <w:jc w:val="both"/>
        <w:rPr>
          <w:rFonts w:ascii="Arial" w:hAnsi="Arial" w:cs="Arial"/>
          <w:sz w:val="22"/>
          <w:szCs w:val="22"/>
          <w:lang w:val="en-US"/>
        </w:rPr>
      </w:pPr>
    </w:p>
    <w:p w14:paraId="08093491" w14:textId="77777777" w:rsidR="00CD1632" w:rsidRPr="004F2F3F" w:rsidRDefault="00CD1632" w:rsidP="00CD1632">
      <w:pPr>
        <w:pStyle w:val="ListParagraph"/>
        <w:numPr>
          <w:ilvl w:val="0"/>
          <w:numId w:val="7"/>
        </w:numPr>
        <w:spacing w:line="276" w:lineRule="auto"/>
        <w:jc w:val="both"/>
        <w:rPr>
          <w:rFonts w:ascii="Arial" w:hAnsi="Arial" w:cs="Arial"/>
          <w:sz w:val="22"/>
          <w:szCs w:val="22"/>
          <w:lang w:val="en-US"/>
        </w:rPr>
      </w:pPr>
      <w:r w:rsidRPr="004466BC">
        <w:rPr>
          <w:rFonts w:ascii="Arial" w:hAnsi="Arial" w:cs="Arial"/>
          <w:sz w:val="22"/>
          <w:szCs w:val="22"/>
          <w:lang w:val="en-US"/>
        </w:rPr>
        <w:t>There are nine governmental departments</w:t>
      </w:r>
      <w:r w:rsidRPr="004F2F3F">
        <w:rPr>
          <w:rStyle w:val="FootnoteReference"/>
          <w:rFonts w:ascii="Arial" w:hAnsi="Arial" w:cs="Arial"/>
          <w:sz w:val="22"/>
          <w:szCs w:val="22"/>
          <w:lang w:val="en-US"/>
        </w:rPr>
        <w:footnoteReference w:id="1"/>
      </w:r>
      <w:r>
        <w:rPr>
          <w:rFonts w:ascii="Arial" w:hAnsi="Arial" w:cs="Arial"/>
          <w:sz w:val="22"/>
          <w:szCs w:val="22"/>
          <w:lang w:val="en-US"/>
        </w:rPr>
        <w:t>:</w:t>
      </w:r>
      <w:r w:rsidRPr="004F2F3F">
        <w:rPr>
          <w:rFonts w:ascii="Arial" w:hAnsi="Arial" w:cs="Arial"/>
          <w:sz w:val="22"/>
          <w:szCs w:val="22"/>
          <w:lang w:val="en-US"/>
        </w:rPr>
        <w:t xml:space="preserve"> each is its own legal entity. The Executive Office (</w:t>
      </w:r>
      <w:r>
        <w:rPr>
          <w:rFonts w:ascii="Arial" w:hAnsi="Arial" w:cs="Arial"/>
          <w:sz w:val="22"/>
          <w:szCs w:val="22"/>
          <w:lang w:val="en-US"/>
        </w:rPr>
        <w:t>‘</w:t>
      </w:r>
      <w:r w:rsidRPr="004F2F3F">
        <w:rPr>
          <w:rFonts w:ascii="Arial" w:hAnsi="Arial" w:cs="Arial"/>
          <w:sz w:val="22"/>
          <w:szCs w:val="22"/>
          <w:lang w:val="en-US"/>
        </w:rPr>
        <w:t>TEO</w:t>
      </w:r>
      <w:r>
        <w:rPr>
          <w:rFonts w:ascii="Arial" w:hAnsi="Arial" w:cs="Arial"/>
          <w:sz w:val="22"/>
          <w:szCs w:val="22"/>
          <w:lang w:val="en-US"/>
        </w:rPr>
        <w:t>’</w:t>
      </w:r>
      <w:r w:rsidRPr="004F2F3F">
        <w:rPr>
          <w:rFonts w:ascii="Arial" w:hAnsi="Arial" w:cs="Arial"/>
          <w:sz w:val="22"/>
          <w:szCs w:val="22"/>
          <w:lang w:val="en-US"/>
        </w:rPr>
        <w:t>) co-ordinates the functioning of departments and the Department of Finance controls budgets. The First Minister and deputy First Minister are nominated by the largest and second largest political parties respectively</w:t>
      </w:r>
      <w:r>
        <w:rPr>
          <w:rFonts w:ascii="Arial" w:hAnsi="Arial" w:cs="Arial"/>
          <w:sz w:val="22"/>
          <w:szCs w:val="22"/>
          <w:lang w:val="en-US"/>
        </w:rPr>
        <w:t>,</w:t>
      </w:r>
      <w:r w:rsidRPr="004F2F3F">
        <w:rPr>
          <w:rFonts w:ascii="Arial" w:hAnsi="Arial" w:cs="Arial"/>
          <w:sz w:val="22"/>
          <w:szCs w:val="22"/>
          <w:lang w:val="en-US"/>
        </w:rPr>
        <w:t xml:space="preserve"> and act as joint chairs of the Executive. Departmental ministers</w:t>
      </w:r>
      <w:r>
        <w:rPr>
          <w:rStyle w:val="FootnoteReference"/>
          <w:rFonts w:ascii="Arial" w:hAnsi="Arial" w:cs="Arial"/>
          <w:sz w:val="22"/>
          <w:szCs w:val="22"/>
          <w:lang w:val="en-US"/>
        </w:rPr>
        <w:footnoteReference w:id="2"/>
      </w:r>
      <w:r w:rsidRPr="004F2F3F">
        <w:rPr>
          <w:rFonts w:ascii="Arial" w:hAnsi="Arial" w:cs="Arial"/>
          <w:sz w:val="22"/>
          <w:szCs w:val="22"/>
          <w:lang w:val="en-US"/>
        </w:rPr>
        <w:t xml:space="preserve">, are nominated by the political parties in the Northern Ireland Assembly, according to their share of seats in the Assembly (using the </w:t>
      </w:r>
      <w:proofErr w:type="spellStart"/>
      <w:r w:rsidRPr="004F2F3F">
        <w:rPr>
          <w:rFonts w:ascii="Arial" w:hAnsi="Arial" w:cs="Arial"/>
          <w:sz w:val="22"/>
          <w:szCs w:val="22"/>
          <w:lang w:val="en-US"/>
        </w:rPr>
        <w:t>d’Hondt</w:t>
      </w:r>
      <w:proofErr w:type="spellEnd"/>
      <w:r w:rsidRPr="004F2F3F">
        <w:rPr>
          <w:rFonts w:ascii="Arial" w:hAnsi="Arial" w:cs="Arial"/>
          <w:sz w:val="22"/>
          <w:szCs w:val="22"/>
          <w:lang w:val="en-US"/>
        </w:rPr>
        <w:t xml:space="preserve"> system). </w:t>
      </w:r>
    </w:p>
    <w:p w14:paraId="6432669B" w14:textId="77777777" w:rsidR="00CD1632" w:rsidRPr="004F2F3F" w:rsidRDefault="00CD1632" w:rsidP="00CD1632">
      <w:pPr>
        <w:spacing w:line="276" w:lineRule="auto"/>
        <w:jc w:val="both"/>
        <w:rPr>
          <w:rFonts w:ascii="Arial" w:hAnsi="Arial" w:cs="Arial"/>
          <w:sz w:val="22"/>
          <w:szCs w:val="22"/>
          <w:lang w:val="en-US"/>
        </w:rPr>
      </w:pPr>
    </w:p>
    <w:p w14:paraId="7C973088" w14:textId="77777777" w:rsidR="00CD1632" w:rsidRPr="004F2F3F" w:rsidRDefault="00CD1632" w:rsidP="00CD1632">
      <w:pPr>
        <w:pStyle w:val="ListParagraph"/>
        <w:numPr>
          <w:ilvl w:val="0"/>
          <w:numId w:val="7"/>
        </w:numPr>
        <w:spacing w:line="276" w:lineRule="auto"/>
        <w:jc w:val="both"/>
        <w:rPr>
          <w:rFonts w:ascii="Arial" w:hAnsi="Arial" w:cs="Arial"/>
          <w:sz w:val="22"/>
          <w:szCs w:val="22"/>
        </w:rPr>
      </w:pPr>
      <w:r w:rsidRPr="004F2F3F">
        <w:rPr>
          <w:rFonts w:ascii="Arial" w:hAnsi="Arial" w:cs="Arial"/>
          <w:sz w:val="22"/>
          <w:szCs w:val="22"/>
          <w:lang w:val="en-US"/>
        </w:rPr>
        <w:t xml:space="preserve">DoH is </w:t>
      </w:r>
      <w:r>
        <w:rPr>
          <w:rFonts w:ascii="Arial" w:hAnsi="Arial" w:cs="Arial"/>
          <w:sz w:val="22"/>
          <w:szCs w:val="22"/>
          <w:lang w:val="en-US"/>
        </w:rPr>
        <w:t xml:space="preserve">amongst </w:t>
      </w:r>
      <w:r w:rsidRPr="004F2F3F">
        <w:rPr>
          <w:rFonts w:ascii="Arial" w:hAnsi="Arial" w:cs="Arial"/>
          <w:sz w:val="22"/>
          <w:szCs w:val="22"/>
          <w:lang w:val="en-US"/>
        </w:rPr>
        <w:t>the smallest department</w:t>
      </w:r>
      <w:r>
        <w:rPr>
          <w:rFonts w:ascii="Arial" w:hAnsi="Arial" w:cs="Arial"/>
          <w:sz w:val="22"/>
          <w:szCs w:val="22"/>
          <w:lang w:val="en-US"/>
        </w:rPr>
        <w:t>s</w:t>
      </w:r>
      <w:r w:rsidRPr="004F2F3F">
        <w:rPr>
          <w:rFonts w:ascii="Arial" w:hAnsi="Arial" w:cs="Arial"/>
          <w:sz w:val="22"/>
          <w:szCs w:val="22"/>
          <w:lang w:val="en-US"/>
        </w:rPr>
        <w:t xml:space="preserve"> by </w:t>
      </w:r>
      <w:r>
        <w:rPr>
          <w:rFonts w:ascii="Arial" w:hAnsi="Arial" w:cs="Arial"/>
          <w:sz w:val="22"/>
          <w:szCs w:val="22"/>
          <w:lang w:val="en-US"/>
        </w:rPr>
        <w:t xml:space="preserve">civil service </w:t>
      </w:r>
      <w:r w:rsidRPr="004F2F3F">
        <w:rPr>
          <w:rFonts w:ascii="Arial" w:hAnsi="Arial" w:cs="Arial"/>
          <w:sz w:val="22"/>
          <w:szCs w:val="22"/>
          <w:lang w:val="en-US"/>
        </w:rPr>
        <w:t>headcount</w:t>
      </w:r>
      <w:r>
        <w:rPr>
          <w:rFonts w:ascii="Arial" w:hAnsi="Arial" w:cs="Arial"/>
          <w:sz w:val="22"/>
          <w:szCs w:val="22"/>
          <w:lang w:val="en-US"/>
        </w:rPr>
        <w:t>, despite having the largest budget</w:t>
      </w:r>
      <w:r w:rsidRPr="004F2F3F">
        <w:rPr>
          <w:rFonts w:ascii="Arial" w:hAnsi="Arial" w:cs="Arial"/>
          <w:sz w:val="22"/>
          <w:szCs w:val="22"/>
          <w:lang w:val="en-US"/>
        </w:rPr>
        <w:t xml:space="preserve">. DoH has three main business responsibilities: Health </w:t>
      </w:r>
      <w:r>
        <w:rPr>
          <w:rFonts w:ascii="Arial" w:hAnsi="Arial" w:cs="Arial"/>
          <w:sz w:val="22"/>
          <w:szCs w:val="22"/>
          <w:lang w:val="en-US"/>
        </w:rPr>
        <w:t>and</w:t>
      </w:r>
      <w:r w:rsidRPr="004F2F3F">
        <w:rPr>
          <w:rFonts w:ascii="Arial" w:hAnsi="Arial" w:cs="Arial"/>
          <w:sz w:val="22"/>
          <w:szCs w:val="22"/>
          <w:lang w:val="en-US"/>
        </w:rPr>
        <w:t xml:space="preserve"> Social Care, Public Health, and Public Safety.  Local Health and Social Care Trusts are responsible for</w:t>
      </w:r>
      <w:r>
        <w:rPr>
          <w:rFonts w:ascii="Arial" w:hAnsi="Arial" w:cs="Arial"/>
          <w:sz w:val="22"/>
          <w:szCs w:val="22"/>
          <w:lang w:val="en-US"/>
        </w:rPr>
        <w:t xml:space="preserve"> o</w:t>
      </w:r>
      <w:r w:rsidRPr="006F164F">
        <w:rPr>
          <w:rFonts w:ascii="Arial" w:hAnsi="Arial" w:cs="Arial"/>
          <w:sz w:val="22"/>
          <w:szCs w:val="22"/>
          <w:lang w:val="en-US"/>
        </w:rPr>
        <w:t>perational service delivery within available resources.</w:t>
      </w:r>
      <w:r w:rsidRPr="004F2F3F" w:rsidDel="006F164F">
        <w:rPr>
          <w:rFonts w:ascii="Arial" w:hAnsi="Arial" w:cs="Arial"/>
          <w:sz w:val="22"/>
          <w:szCs w:val="22"/>
          <w:lang w:val="en-US"/>
        </w:rPr>
        <w:t xml:space="preserve"> </w:t>
      </w:r>
    </w:p>
    <w:p w14:paraId="4F2DC4A5" w14:textId="77777777" w:rsidR="00CD1632" w:rsidRPr="004F2F3F" w:rsidRDefault="00CD1632" w:rsidP="00CD1632">
      <w:pPr>
        <w:pStyle w:val="ListParagraph"/>
        <w:spacing w:line="276" w:lineRule="auto"/>
        <w:jc w:val="both"/>
        <w:rPr>
          <w:rFonts w:ascii="Arial" w:hAnsi="Arial" w:cs="Arial"/>
          <w:sz w:val="22"/>
          <w:szCs w:val="22"/>
          <w:lang w:val="en-US"/>
        </w:rPr>
      </w:pPr>
    </w:p>
    <w:p w14:paraId="29DDD5B8" w14:textId="77777777" w:rsidR="00CD1632" w:rsidRPr="004466BC" w:rsidRDefault="00CD1632" w:rsidP="00CD1632">
      <w:pPr>
        <w:pStyle w:val="ListParagraph"/>
        <w:numPr>
          <w:ilvl w:val="0"/>
          <w:numId w:val="7"/>
        </w:numPr>
        <w:spacing w:line="276" w:lineRule="auto"/>
        <w:jc w:val="both"/>
        <w:rPr>
          <w:rFonts w:ascii="Arial" w:hAnsi="Arial" w:cs="Arial"/>
          <w:sz w:val="22"/>
          <w:szCs w:val="22"/>
          <w:lang w:val="en-US"/>
        </w:rPr>
      </w:pPr>
      <w:r w:rsidRPr="004F2F3F">
        <w:rPr>
          <w:rFonts w:ascii="Arial" w:hAnsi="Arial" w:cs="Arial"/>
          <w:sz w:val="22"/>
          <w:szCs w:val="22"/>
          <w:lang w:val="en-US"/>
        </w:rPr>
        <w:t xml:space="preserve">Civil servants work for their department under the direction and control of their </w:t>
      </w:r>
      <w:r>
        <w:rPr>
          <w:rFonts w:ascii="Arial" w:hAnsi="Arial" w:cs="Arial"/>
          <w:sz w:val="22"/>
          <w:szCs w:val="22"/>
          <w:lang w:val="en-US"/>
        </w:rPr>
        <w:t>M</w:t>
      </w:r>
      <w:r w:rsidRPr="004F2F3F">
        <w:rPr>
          <w:rFonts w:ascii="Arial" w:hAnsi="Arial" w:cs="Arial"/>
          <w:sz w:val="22"/>
          <w:szCs w:val="22"/>
          <w:lang w:val="en-US"/>
        </w:rPr>
        <w:t>inisters and report to their Permanent Secretary, who report</w:t>
      </w:r>
      <w:r>
        <w:rPr>
          <w:rFonts w:ascii="Arial" w:hAnsi="Arial" w:cs="Arial"/>
          <w:sz w:val="22"/>
          <w:szCs w:val="22"/>
          <w:lang w:val="en-US"/>
        </w:rPr>
        <w:t>s</w:t>
      </w:r>
      <w:r w:rsidRPr="004F2F3F">
        <w:rPr>
          <w:rFonts w:ascii="Arial" w:hAnsi="Arial" w:cs="Arial"/>
          <w:sz w:val="22"/>
          <w:szCs w:val="22"/>
          <w:lang w:val="en-US"/>
        </w:rPr>
        <w:t xml:space="preserve"> to their </w:t>
      </w:r>
      <w:r>
        <w:rPr>
          <w:rFonts w:ascii="Arial" w:hAnsi="Arial" w:cs="Arial"/>
          <w:sz w:val="22"/>
          <w:szCs w:val="22"/>
          <w:lang w:val="en-US"/>
        </w:rPr>
        <w:t>M</w:t>
      </w:r>
      <w:r w:rsidRPr="004F2F3F">
        <w:rPr>
          <w:rFonts w:ascii="Arial" w:hAnsi="Arial" w:cs="Arial"/>
          <w:sz w:val="22"/>
          <w:szCs w:val="22"/>
          <w:lang w:val="en-US"/>
        </w:rPr>
        <w:t>inister.  Both the executive and civil service structures in N</w:t>
      </w:r>
      <w:r>
        <w:rPr>
          <w:rFonts w:ascii="Arial" w:hAnsi="Arial" w:cs="Arial"/>
          <w:sz w:val="22"/>
          <w:szCs w:val="22"/>
          <w:lang w:val="en-US"/>
        </w:rPr>
        <w:t>orthern Ireland</w:t>
      </w:r>
      <w:r w:rsidRPr="004F2F3F">
        <w:rPr>
          <w:rFonts w:ascii="Arial" w:hAnsi="Arial" w:cs="Arial"/>
          <w:sz w:val="22"/>
          <w:szCs w:val="22"/>
          <w:lang w:val="en-US"/>
        </w:rPr>
        <w:t xml:space="preserve"> are different from those in place in the UK, Scotland and Wales. The Executive is a mandatory coalition. As the Inquiry heard from witnesses, plainly expressed to the Chair by Professor Gray, N</w:t>
      </w:r>
      <w:r>
        <w:rPr>
          <w:rFonts w:ascii="Arial" w:hAnsi="Arial" w:cs="Arial"/>
          <w:sz w:val="22"/>
          <w:szCs w:val="22"/>
          <w:lang w:val="en-US"/>
        </w:rPr>
        <w:t>orthern Ireland’s</w:t>
      </w:r>
      <w:r w:rsidRPr="004F2F3F">
        <w:rPr>
          <w:rFonts w:ascii="Arial" w:hAnsi="Arial" w:cs="Arial"/>
          <w:sz w:val="22"/>
          <w:szCs w:val="22"/>
          <w:lang w:val="en-US"/>
        </w:rPr>
        <w:t xml:space="preserve"> governmental structures do not include the concept of collective responsibility. The Executive</w:t>
      </w:r>
      <w:r>
        <w:rPr>
          <w:rFonts w:ascii="Arial" w:hAnsi="Arial" w:cs="Arial"/>
          <w:sz w:val="22"/>
          <w:szCs w:val="22"/>
          <w:lang w:val="en-US"/>
        </w:rPr>
        <w:t xml:space="preserve"> had been</w:t>
      </w:r>
      <w:r w:rsidRPr="004F2F3F">
        <w:rPr>
          <w:rFonts w:ascii="Arial" w:hAnsi="Arial" w:cs="Arial"/>
          <w:sz w:val="22"/>
          <w:szCs w:val="22"/>
          <w:lang w:val="en-US"/>
        </w:rPr>
        <w:t xml:space="preserve"> formed on 11 January 2020, less than three weeks before the World Health </w:t>
      </w:r>
      <w:proofErr w:type="spellStart"/>
      <w:r w:rsidRPr="004F2F3F">
        <w:rPr>
          <w:rFonts w:ascii="Arial" w:hAnsi="Arial" w:cs="Arial"/>
          <w:sz w:val="22"/>
          <w:szCs w:val="22"/>
          <w:lang w:val="en-US"/>
        </w:rPr>
        <w:t>Organisation</w:t>
      </w:r>
      <w:proofErr w:type="spellEnd"/>
      <w:r w:rsidRPr="004F2F3F">
        <w:rPr>
          <w:rFonts w:ascii="Arial" w:hAnsi="Arial" w:cs="Arial"/>
          <w:sz w:val="22"/>
          <w:szCs w:val="22"/>
          <w:lang w:val="en-US"/>
        </w:rPr>
        <w:t xml:space="preserve"> declared the Covid-19 outbreak as a Public Health Emergency of International Concern</w:t>
      </w:r>
      <w:r>
        <w:rPr>
          <w:rFonts w:ascii="Arial" w:hAnsi="Arial" w:cs="Arial"/>
          <w:sz w:val="22"/>
          <w:szCs w:val="22"/>
          <w:lang w:val="en-US"/>
        </w:rPr>
        <w:t>.  Prior to that point the Executive had</w:t>
      </w:r>
      <w:r w:rsidRPr="004F2F3F">
        <w:rPr>
          <w:rFonts w:ascii="Arial" w:hAnsi="Arial" w:cs="Arial"/>
          <w:sz w:val="22"/>
          <w:szCs w:val="22"/>
          <w:lang w:val="en-US"/>
        </w:rPr>
        <w:t xml:space="preserve"> not been in place for </w:t>
      </w:r>
      <w:r>
        <w:rPr>
          <w:rFonts w:ascii="Arial" w:hAnsi="Arial" w:cs="Arial"/>
          <w:sz w:val="22"/>
          <w:szCs w:val="22"/>
          <w:lang w:val="en-US"/>
        </w:rPr>
        <w:t>approximately</w:t>
      </w:r>
      <w:r w:rsidRPr="004F2F3F">
        <w:rPr>
          <w:rFonts w:ascii="Arial" w:hAnsi="Arial" w:cs="Arial"/>
          <w:sz w:val="22"/>
          <w:szCs w:val="22"/>
          <w:lang w:val="en-US"/>
        </w:rPr>
        <w:t xml:space="preserve"> 3 years. </w:t>
      </w:r>
      <w:r>
        <w:rPr>
          <w:rFonts w:ascii="Arial" w:hAnsi="Arial" w:cs="Arial"/>
          <w:sz w:val="22"/>
          <w:szCs w:val="22"/>
          <w:lang w:val="en-US"/>
        </w:rPr>
        <w:t>It</w:t>
      </w:r>
      <w:r w:rsidRPr="004466BC">
        <w:rPr>
          <w:rFonts w:ascii="Arial" w:hAnsi="Arial" w:cs="Arial"/>
          <w:sz w:val="22"/>
          <w:szCs w:val="22"/>
          <w:lang w:val="en-US"/>
        </w:rPr>
        <w:t xml:space="preserve"> is undoubtedly the case that all </w:t>
      </w:r>
      <w:r>
        <w:rPr>
          <w:rFonts w:ascii="Arial" w:hAnsi="Arial" w:cs="Arial"/>
          <w:sz w:val="22"/>
          <w:szCs w:val="22"/>
          <w:lang w:val="en-US"/>
        </w:rPr>
        <w:t>M</w:t>
      </w:r>
      <w:r w:rsidRPr="004466BC">
        <w:rPr>
          <w:rFonts w:ascii="Arial" w:hAnsi="Arial" w:cs="Arial"/>
          <w:sz w:val="22"/>
          <w:szCs w:val="22"/>
          <w:lang w:val="en-US"/>
        </w:rPr>
        <w:t xml:space="preserve">inisters </w:t>
      </w:r>
      <w:r>
        <w:rPr>
          <w:rFonts w:ascii="Arial" w:hAnsi="Arial" w:cs="Arial"/>
          <w:sz w:val="22"/>
          <w:szCs w:val="22"/>
          <w:lang w:val="en-US"/>
        </w:rPr>
        <w:t>in early 2020</w:t>
      </w:r>
      <w:r w:rsidRPr="004466BC">
        <w:rPr>
          <w:rFonts w:ascii="Arial" w:hAnsi="Arial" w:cs="Arial"/>
          <w:sz w:val="22"/>
          <w:szCs w:val="22"/>
          <w:lang w:val="en-US"/>
        </w:rPr>
        <w:t xml:space="preserve"> </w:t>
      </w:r>
      <w:r>
        <w:rPr>
          <w:rFonts w:ascii="Arial" w:hAnsi="Arial" w:cs="Arial"/>
          <w:sz w:val="22"/>
          <w:szCs w:val="22"/>
          <w:lang w:val="en-US"/>
        </w:rPr>
        <w:t xml:space="preserve">were </w:t>
      </w:r>
      <w:proofErr w:type="spellStart"/>
      <w:r w:rsidRPr="004466BC">
        <w:rPr>
          <w:rFonts w:ascii="Arial" w:hAnsi="Arial" w:cs="Arial"/>
          <w:sz w:val="22"/>
          <w:szCs w:val="22"/>
          <w:lang w:val="en-US"/>
        </w:rPr>
        <w:t>familiarising</w:t>
      </w:r>
      <w:proofErr w:type="spellEnd"/>
      <w:r w:rsidRPr="004466BC">
        <w:rPr>
          <w:rFonts w:ascii="Arial" w:hAnsi="Arial" w:cs="Arial"/>
          <w:sz w:val="22"/>
          <w:szCs w:val="22"/>
          <w:lang w:val="en-US"/>
        </w:rPr>
        <w:t xml:space="preserve"> themselves with their respective roles and responsibilities.</w:t>
      </w:r>
    </w:p>
    <w:p w14:paraId="3E5CBD46" w14:textId="77777777" w:rsidR="00CD1632" w:rsidRPr="004F2F3F" w:rsidRDefault="00CD1632" w:rsidP="00CD1632">
      <w:pPr>
        <w:pStyle w:val="ListParagraph"/>
        <w:rPr>
          <w:rFonts w:ascii="Arial" w:hAnsi="Arial" w:cs="Arial"/>
          <w:sz w:val="22"/>
          <w:szCs w:val="22"/>
          <w:lang w:val="en-US"/>
        </w:rPr>
      </w:pPr>
    </w:p>
    <w:p w14:paraId="06D60092" w14:textId="77777777" w:rsidR="00CD1632" w:rsidRPr="004F2F3F" w:rsidRDefault="00CD1632" w:rsidP="00CD1632">
      <w:pPr>
        <w:pStyle w:val="ListParagraph"/>
        <w:numPr>
          <w:ilvl w:val="0"/>
          <w:numId w:val="7"/>
        </w:numPr>
        <w:spacing w:line="276" w:lineRule="auto"/>
        <w:jc w:val="both"/>
        <w:rPr>
          <w:rFonts w:ascii="Arial" w:hAnsi="Arial" w:cs="Arial"/>
          <w:sz w:val="22"/>
          <w:szCs w:val="22"/>
          <w:lang w:val="en-US"/>
        </w:rPr>
      </w:pPr>
      <w:r w:rsidRPr="004F2F3F">
        <w:rPr>
          <w:rFonts w:ascii="Arial" w:hAnsi="Arial" w:cs="Arial"/>
          <w:sz w:val="22"/>
          <w:szCs w:val="22"/>
          <w:lang w:val="en-US"/>
        </w:rPr>
        <w:t xml:space="preserve">Northern Ireland is the smallest of the </w:t>
      </w:r>
      <w:r>
        <w:rPr>
          <w:rFonts w:ascii="Arial" w:hAnsi="Arial" w:cs="Arial"/>
          <w:sz w:val="22"/>
          <w:szCs w:val="22"/>
          <w:lang w:val="en-US"/>
        </w:rPr>
        <w:t>four</w:t>
      </w:r>
      <w:r w:rsidRPr="004F2F3F">
        <w:rPr>
          <w:rFonts w:ascii="Arial" w:hAnsi="Arial" w:cs="Arial"/>
          <w:sz w:val="22"/>
          <w:szCs w:val="22"/>
          <w:lang w:val="en-US"/>
        </w:rPr>
        <w:t xml:space="preserve"> nations of the UK with a population of 1.9m out of the total UK population of 68m</w:t>
      </w:r>
      <w:r w:rsidRPr="004F2F3F">
        <w:rPr>
          <w:rStyle w:val="FootnoteReference"/>
          <w:rFonts w:ascii="Arial" w:hAnsi="Arial" w:cs="Arial"/>
          <w:sz w:val="22"/>
          <w:szCs w:val="22"/>
          <w:lang w:val="en-US"/>
        </w:rPr>
        <w:footnoteReference w:id="3"/>
      </w:r>
      <w:r w:rsidRPr="004F2F3F">
        <w:rPr>
          <w:rFonts w:ascii="Arial" w:hAnsi="Arial" w:cs="Arial"/>
          <w:sz w:val="22"/>
          <w:szCs w:val="22"/>
          <w:lang w:val="en-US"/>
        </w:rPr>
        <w:t xml:space="preserve">. It should be appreciated that the burden (including </w:t>
      </w:r>
      <w:r>
        <w:rPr>
          <w:rFonts w:ascii="Arial" w:hAnsi="Arial" w:cs="Arial"/>
          <w:sz w:val="22"/>
          <w:szCs w:val="22"/>
          <w:lang w:val="en-US"/>
        </w:rPr>
        <w:t xml:space="preserve">the </w:t>
      </w:r>
      <w:r w:rsidRPr="004F2F3F">
        <w:rPr>
          <w:rFonts w:ascii="Arial" w:hAnsi="Arial" w:cs="Arial"/>
          <w:sz w:val="22"/>
          <w:szCs w:val="22"/>
          <w:lang w:val="en-US"/>
        </w:rPr>
        <w:t xml:space="preserve">scope of responsibilities) on individuals and resilience of systems will be impacted by the size of the nation and </w:t>
      </w:r>
      <w:r>
        <w:rPr>
          <w:rFonts w:ascii="Arial" w:hAnsi="Arial" w:cs="Arial"/>
          <w:sz w:val="22"/>
          <w:szCs w:val="22"/>
          <w:lang w:val="en-US"/>
        </w:rPr>
        <w:t xml:space="preserve">the </w:t>
      </w:r>
      <w:r w:rsidRPr="004F2F3F">
        <w:rPr>
          <w:rFonts w:ascii="Arial" w:hAnsi="Arial" w:cs="Arial"/>
          <w:sz w:val="22"/>
          <w:szCs w:val="22"/>
          <w:lang w:val="en-US"/>
        </w:rPr>
        <w:t>limitations on its resources.</w:t>
      </w:r>
    </w:p>
    <w:p w14:paraId="5AE0A838" w14:textId="77777777" w:rsidR="00CD1632" w:rsidRPr="004F2F3F" w:rsidRDefault="00CD1632" w:rsidP="00CD1632">
      <w:pPr>
        <w:pStyle w:val="ListParagraph"/>
        <w:rPr>
          <w:rFonts w:ascii="Arial" w:hAnsi="Arial" w:cs="Arial"/>
          <w:sz w:val="22"/>
          <w:szCs w:val="22"/>
          <w:lang w:val="en-US"/>
        </w:rPr>
      </w:pPr>
    </w:p>
    <w:p w14:paraId="77A25B9C" w14:textId="77777777" w:rsidR="00CD1632" w:rsidRPr="004F2F3F" w:rsidRDefault="00CD1632" w:rsidP="00CD1632">
      <w:pPr>
        <w:pStyle w:val="ListParagraph"/>
        <w:numPr>
          <w:ilvl w:val="0"/>
          <w:numId w:val="7"/>
        </w:numPr>
        <w:spacing w:line="276" w:lineRule="auto"/>
        <w:jc w:val="both"/>
        <w:rPr>
          <w:rFonts w:ascii="Arial" w:hAnsi="Arial" w:cs="Arial"/>
          <w:sz w:val="22"/>
          <w:szCs w:val="22"/>
          <w:lang w:val="en-US"/>
        </w:rPr>
      </w:pPr>
      <w:r w:rsidRPr="004F2F3F">
        <w:rPr>
          <w:rFonts w:ascii="Arial" w:hAnsi="Arial" w:cs="Arial"/>
          <w:sz w:val="22"/>
          <w:szCs w:val="22"/>
          <w:lang w:val="en-US"/>
        </w:rPr>
        <w:t>The Inquiry has also heard much evidence regarding the impact upon the governance of Northern Ireland during the absence of an Executive. For instance, work was not progressed as fully as could have occurred to reform and improve the health service following the Bengoa Report.</w:t>
      </w:r>
    </w:p>
    <w:p w14:paraId="2AA165C3" w14:textId="77777777" w:rsidR="00CD1632" w:rsidRPr="004F2F3F" w:rsidRDefault="00CD1632" w:rsidP="00CD1632">
      <w:pPr>
        <w:pStyle w:val="ListParagraph"/>
        <w:spacing w:line="276" w:lineRule="auto"/>
        <w:jc w:val="both"/>
        <w:rPr>
          <w:rFonts w:ascii="Arial" w:hAnsi="Arial" w:cs="Arial"/>
          <w:sz w:val="22"/>
          <w:szCs w:val="22"/>
          <w:lang w:val="en-US"/>
        </w:rPr>
      </w:pPr>
    </w:p>
    <w:p w14:paraId="0CC9A782" w14:textId="77777777" w:rsidR="00CD1632" w:rsidRPr="004F2F3F" w:rsidRDefault="00CD1632" w:rsidP="00CD1632">
      <w:pPr>
        <w:pStyle w:val="ListParagraph"/>
        <w:numPr>
          <w:ilvl w:val="0"/>
          <w:numId w:val="7"/>
        </w:numPr>
        <w:spacing w:line="276" w:lineRule="auto"/>
        <w:jc w:val="both"/>
        <w:rPr>
          <w:rFonts w:ascii="Arial" w:hAnsi="Arial" w:cs="Arial"/>
          <w:sz w:val="22"/>
          <w:szCs w:val="22"/>
          <w:lang w:val="en-US"/>
        </w:rPr>
      </w:pPr>
      <w:r w:rsidRPr="004F2F3F">
        <w:rPr>
          <w:rFonts w:ascii="Arial" w:hAnsi="Arial" w:cs="Arial"/>
          <w:sz w:val="22"/>
          <w:szCs w:val="22"/>
          <w:lang w:val="en-US"/>
        </w:rPr>
        <w:t>Whilst there are many examples of cross-departmental co-operation and a requirement under the Ministerial Code to work together on cross-cutting issues, the system in place in Northern Ireland is that there are nine separate legal entities and no constitutional collective responsibility.</w:t>
      </w:r>
      <w:r w:rsidRPr="00D4019C">
        <w:t xml:space="preserve"> </w:t>
      </w:r>
      <w:r w:rsidRPr="00D4019C">
        <w:rPr>
          <w:rFonts w:ascii="Arial" w:hAnsi="Arial" w:cs="Arial"/>
          <w:sz w:val="22"/>
          <w:szCs w:val="22"/>
          <w:lang w:val="en-US"/>
        </w:rPr>
        <w:t>It is arguable that many of the issues encountered during the early stages of the pandemic (and indeed the preparedness phase)</w:t>
      </w:r>
      <w:r>
        <w:rPr>
          <w:rFonts w:ascii="Arial" w:hAnsi="Arial" w:cs="Arial"/>
          <w:sz w:val="22"/>
          <w:szCs w:val="22"/>
          <w:lang w:val="en-US"/>
        </w:rPr>
        <w:t xml:space="preserve"> </w:t>
      </w:r>
      <w:r w:rsidRPr="00D4019C">
        <w:rPr>
          <w:rFonts w:ascii="Arial" w:hAnsi="Arial" w:cs="Arial"/>
          <w:sz w:val="22"/>
          <w:szCs w:val="22"/>
          <w:lang w:val="en-US"/>
        </w:rPr>
        <w:t>flowed from the constitutional arrangements, and the fact that the new administration was still very much in the bedding in phase</w:t>
      </w:r>
      <w:r w:rsidRPr="004F2F3F">
        <w:rPr>
          <w:rFonts w:ascii="Arial" w:hAnsi="Arial" w:cs="Arial"/>
          <w:sz w:val="22"/>
          <w:szCs w:val="22"/>
          <w:lang w:val="en-US"/>
        </w:rPr>
        <w:t xml:space="preserve">.   </w:t>
      </w:r>
    </w:p>
    <w:p w14:paraId="2F2BEC83" w14:textId="77777777" w:rsidR="00CD1632" w:rsidRPr="004F2F3F" w:rsidRDefault="00CD1632" w:rsidP="00CD1632">
      <w:pPr>
        <w:pStyle w:val="ListParagraph"/>
        <w:spacing w:line="276" w:lineRule="auto"/>
        <w:jc w:val="both"/>
        <w:rPr>
          <w:rFonts w:ascii="Arial" w:hAnsi="Arial" w:cs="Arial"/>
          <w:sz w:val="22"/>
          <w:szCs w:val="22"/>
          <w:lang w:val="en-US"/>
        </w:rPr>
      </w:pPr>
    </w:p>
    <w:p w14:paraId="431D1F9A" w14:textId="77777777" w:rsidR="00CD1632" w:rsidRPr="004F2F3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 xml:space="preserve">The Minister for Health, the CMO and the CSA gave advice to the Executive – but the decisions were made by the Executive.  The Minister, </w:t>
      </w:r>
      <w:r>
        <w:rPr>
          <w:rFonts w:ascii="Arial" w:hAnsi="Arial" w:cs="Arial"/>
          <w:sz w:val="22"/>
          <w:szCs w:val="22"/>
          <w:lang w:val="en-US"/>
        </w:rPr>
        <w:t>DoH</w:t>
      </w:r>
      <w:r w:rsidRPr="006F164F">
        <w:rPr>
          <w:rFonts w:ascii="Arial" w:hAnsi="Arial" w:cs="Arial"/>
          <w:sz w:val="22"/>
          <w:szCs w:val="22"/>
          <w:lang w:val="en-US"/>
        </w:rPr>
        <w:t xml:space="preserve"> and its officials</w:t>
      </w:r>
      <w:r>
        <w:rPr>
          <w:rFonts w:ascii="Arial" w:hAnsi="Arial" w:cs="Arial"/>
          <w:sz w:val="22"/>
          <w:szCs w:val="22"/>
          <w:lang w:val="en-US"/>
        </w:rPr>
        <w:t>,</w:t>
      </w:r>
      <w:r w:rsidRPr="006F164F">
        <w:rPr>
          <w:rFonts w:ascii="Arial" w:hAnsi="Arial" w:cs="Arial"/>
          <w:sz w:val="22"/>
          <w:szCs w:val="22"/>
          <w:lang w:val="en-US"/>
        </w:rPr>
        <w:t xml:space="preserve"> including the CMO and CSA</w:t>
      </w:r>
      <w:r>
        <w:rPr>
          <w:rFonts w:ascii="Arial" w:hAnsi="Arial" w:cs="Arial"/>
          <w:sz w:val="22"/>
          <w:szCs w:val="22"/>
          <w:lang w:val="en-US"/>
        </w:rPr>
        <w:t>,</w:t>
      </w:r>
      <w:r w:rsidRPr="006F164F">
        <w:rPr>
          <w:rFonts w:ascii="Arial" w:hAnsi="Arial" w:cs="Arial"/>
          <w:sz w:val="22"/>
          <w:szCs w:val="22"/>
          <w:lang w:val="en-US"/>
        </w:rPr>
        <w:t xml:space="preserve"> worked tirelessly through the Covid-19 response to protect lives and the health service.  It has been widely accepted that </w:t>
      </w:r>
      <w:proofErr w:type="gramStart"/>
      <w:r w:rsidRPr="006F164F">
        <w:rPr>
          <w:rFonts w:ascii="Arial" w:hAnsi="Arial" w:cs="Arial"/>
          <w:sz w:val="22"/>
          <w:szCs w:val="22"/>
          <w:lang w:val="en-US"/>
        </w:rPr>
        <w:t>DoH</w:t>
      </w:r>
      <w:proofErr w:type="gramEnd"/>
      <w:r w:rsidRPr="006F164F">
        <w:rPr>
          <w:rFonts w:ascii="Arial" w:hAnsi="Arial" w:cs="Arial"/>
          <w:sz w:val="22"/>
          <w:szCs w:val="22"/>
          <w:lang w:val="en-US"/>
        </w:rPr>
        <w:t xml:space="preserve"> was left to </w:t>
      </w:r>
      <w:r>
        <w:rPr>
          <w:rFonts w:ascii="Arial" w:hAnsi="Arial" w:cs="Arial"/>
          <w:sz w:val="22"/>
          <w:szCs w:val="22"/>
          <w:lang w:val="en-US"/>
        </w:rPr>
        <w:t>carry too big a load</w:t>
      </w:r>
      <w:r w:rsidRPr="006F164F">
        <w:rPr>
          <w:rFonts w:ascii="Arial" w:hAnsi="Arial" w:cs="Arial"/>
          <w:sz w:val="22"/>
          <w:szCs w:val="22"/>
          <w:lang w:val="en-US"/>
        </w:rPr>
        <w:t xml:space="preserve"> in too many areas, with too little resources, in part due the inability of the NICS to move people to lend support.  This created excessive and intolerable pressures on key staff within DoH, and this lack of agility to move personnel in support represents a single point of failure</w:t>
      </w:r>
      <w:r w:rsidRPr="006F164F">
        <w:t xml:space="preserve"> </w:t>
      </w:r>
      <w:r w:rsidRPr="006F164F">
        <w:rPr>
          <w:rFonts w:ascii="Arial" w:hAnsi="Arial" w:cs="Arial"/>
          <w:sz w:val="22"/>
          <w:szCs w:val="22"/>
          <w:lang w:val="en-US"/>
        </w:rPr>
        <w:t xml:space="preserve">in the response to any future pandemic and is an important learning point. </w:t>
      </w:r>
    </w:p>
    <w:p w14:paraId="4F5231C2" w14:textId="77777777" w:rsidR="00CD1632" w:rsidRPr="006F164F" w:rsidRDefault="00CD1632" w:rsidP="00CD1632">
      <w:pPr>
        <w:pStyle w:val="ListParagraph"/>
        <w:spacing w:line="276" w:lineRule="auto"/>
        <w:jc w:val="both"/>
        <w:rPr>
          <w:rFonts w:ascii="Arial" w:hAnsi="Arial" w:cs="Arial"/>
          <w:b/>
          <w:bCs/>
          <w:sz w:val="22"/>
          <w:szCs w:val="22"/>
          <w:lang w:val="en-US"/>
        </w:rPr>
      </w:pPr>
    </w:p>
    <w:p w14:paraId="1F4BBF03" w14:textId="77777777" w:rsidR="00CD1632" w:rsidRPr="004F2F3F" w:rsidRDefault="00CD1632" w:rsidP="00CD1632">
      <w:pPr>
        <w:pStyle w:val="ListParagraph"/>
        <w:spacing w:line="276" w:lineRule="auto"/>
        <w:jc w:val="both"/>
        <w:rPr>
          <w:rFonts w:ascii="Arial" w:hAnsi="Arial" w:cs="Arial"/>
          <w:sz w:val="22"/>
          <w:szCs w:val="22"/>
          <w:lang w:val="en-US"/>
        </w:rPr>
      </w:pPr>
      <w:r w:rsidRPr="004F2F3F">
        <w:rPr>
          <w:rFonts w:ascii="Arial" w:hAnsi="Arial" w:cs="Arial"/>
          <w:b/>
          <w:bCs/>
          <w:sz w:val="22"/>
          <w:szCs w:val="22"/>
          <w:u w:val="single"/>
          <w:lang w:val="en-US"/>
        </w:rPr>
        <w:t>Lead Government Department Within Civil Contingency in Northern Ireland</w:t>
      </w:r>
      <w:r w:rsidRPr="004F2F3F">
        <w:rPr>
          <w:rFonts w:ascii="Arial" w:hAnsi="Arial" w:cs="Arial"/>
          <w:b/>
          <w:bCs/>
          <w:sz w:val="22"/>
          <w:szCs w:val="22"/>
          <w:u w:val="single"/>
          <w:lang w:val="en-US"/>
        </w:rPr>
        <w:br/>
      </w:r>
    </w:p>
    <w:p w14:paraId="37EBA045"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In its role as a potential </w:t>
      </w:r>
      <w:r w:rsidRPr="004F2F3F">
        <w:rPr>
          <w:rFonts w:ascii="Arial" w:hAnsi="Arial" w:cs="Arial"/>
          <w:sz w:val="22"/>
          <w:szCs w:val="22"/>
          <w:lang w:val="en-US"/>
        </w:rPr>
        <w:t xml:space="preserve">‘Lead Government Department’ </w:t>
      </w:r>
      <w:r>
        <w:rPr>
          <w:rFonts w:ascii="Arial" w:hAnsi="Arial" w:cs="Arial"/>
          <w:sz w:val="22"/>
          <w:szCs w:val="22"/>
          <w:lang w:val="en-US"/>
        </w:rPr>
        <w:t>(‘</w:t>
      </w:r>
      <w:r w:rsidRPr="00D86495">
        <w:rPr>
          <w:rFonts w:ascii="Arial" w:hAnsi="Arial" w:cs="Arial"/>
          <w:sz w:val="22"/>
          <w:szCs w:val="22"/>
          <w:lang w:val="en-US"/>
        </w:rPr>
        <w:t>LGD</w:t>
      </w:r>
      <w:r>
        <w:rPr>
          <w:rFonts w:ascii="Arial" w:hAnsi="Arial" w:cs="Arial"/>
          <w:sz w:val="22"/>
          <w:szCs w:val="22"/>
          <w:lang w:val="en-US"/>
        </w:rPr>
        <w:t>’)</w:t>
      </w:r>
      <w:r w:rsidRPr="00D86495">
        <w:rPr>
          <w:rFonts w:ascii="Arial" w:hAnsi="Arial" w:cs="Arial"/>
          <w:sz w:val="22"/>
          <w:szCs w:val="22"/>
          <w:lang w:val="en-US"/>
        </w:rPr>
        <w:t>, DoH is required to maintain a state of readiness and build resilience to allow it to effectively lead the response to health and social care emergencies where they affect, or have the potential to affect, Northern Ireland. These principles have been endorsed by the Head of the Northern Ireland Civil Service in 'A Guide to Emergency Planning Arrangements in Northern Ireland', published by the Executive Office</w:t>
      </w:r>
      <w:r>
        <w:rPr>
          <w:rStyle w:val="FootnoteReference"/>
          <w:rFonts w:ascii="Arial" w:hAnsi="Arial" w:cs="Arial"/>
          <w:sz w:val="22"/>
          <w:szCs w:val="22"/>
          <w:lang w:val="en-US"/>
        </w:rPr>
        <w:footnoteReference w:id="4"/>
      </w:r>
      <w:r>
        <w:rPr>
          <w:rFonts w:ascii="Arial" w:hAnsi="Arial" w:cs="Arial"/>
          <w:sz w:val="22"/>
          <w:szCs w:val="22"/>
          <w:lang w:val="en-US"/>
        </w:rPr>
        <w:t>.</w:t>
      </w:r>
    </w:p>
    <w:p w14:paraId="65704A29" w14:textId="77777777" w:rsidR="00CD1632" w:rsidRPr="00D86495" w:rsidRDefault="00CD1632" w:rsidP="00CD1632">
      <w:pPr>
        <w:pStyle w:val="ListParagraph"/>
        <w:spacing w:line="276" w:lineRule="auto"/>
        <w:jc w:val="both"/>
        <w:rPr>
          <w:rFonts w:ascii="Arial" w:hAnsi="Arial" w:cs="Arial"/>
          <w:sz w:val="22"/>
          <w:szCs w:val="22"/>
          <w:u w:val="single"/>
          <w:lang w:val="en-US"/>
        </w:rPr>
      </w:pPr>
    </w:p>
    <w:p w14:paraId="1FD9F198" w14:textId="77777777" w:rsidR="00CD1632" w:rsidRDefault="00CD1632" w:rsidP="00CD1632">
      <w:pPr>
        <w:pStyle w:val="ListParagraph"/>
        <w:numPr>
          <w:ilvl w:val="0"/>
          <w:numId w:val="7"/>
        </w:numPr>
        <w:spacing w:line="276" w:lineRule="auto"/>
        <w:jc w:val="both"/>
      </w:pPr>
      <w:r w:rsidRPr="004F2F3F">
        <w:rPr>
          <w:rFonts w:ascii="Arial" w:hAnsi="Arial" w:cs="Arial"/>
          <w:sz w:val="22"/>
          <w:szCs w:val="22"/>
          <w:lang w:val="en-US"/>
        </w:rPr>
        <w:t>In the course of the Inquiry hearing</w:t>
      </w:r>
      <w:r w:rsidRPr="00D56DAD">
        <w:t>, the issue of the ‘Lead Government Department’ was raised on a number of occasions.  The Northern Ireland Civil Contingencies Framework</w:t>
      </w:r>
      <w:r>
        <w:t xml:space="preserve"> </w:t>
      </w:r>
      <w:r w:rsidRPr="00D56DAD">
        <w:t>(September 2011) addresses the Northern Ireland wide picture, but mainly refers to ‘Lead Organisation’ rather than ‘Lead Government Department’</w:t>
      </w:r>
      <w:r w:rsidRPr="00D56DAD">
        <w:footnoteReference w:id="5"/>
      </w:r>
      <w:r w:rsidRPr="00D56DAD">
        <w:t xml:space="preserve">. The Framework covers a broad range of contingencies from local, limited matters to worldwide, catastrophic emergencies. </w:t>
      </w:r>
      <w:r>
        <w:t>The Framework documents are high-level and reflect the fact that the events which can require an emergency response cannot be fully anticipated. To this end it is apposite to note the assertion in the NICC Framework 2011 which provides that:</w:t>
      </w:r>
    </w:p>
    <w:p w14:paraId="071620E0" w14:textId="77777777" w:rsidR="00CD1632" w:rsidRDefault="00CD1632" w:rsidP="00CD1632">
      <w:pPr>
        <w:pStyle w:val="ListParagraph"/>
        <w:spacing w:line="276" w:lineRule="auto"/>
        <w:ind w:left="1440"/>
        <w:jc w:val="both"/>
      </w:pPr>
      <w:r>
        <w:t>“</w:t>
      </w:r>
      <w:r w:rsidRPr="00530492">
        <w:rPr>
          <w:i/>
          <w:iCs/>
        </w:rPr>
        <w:t>Civil Contingencies is a huge field</w:t>
      </w:r>
      <w:r>
        <w:rPr>
          <w:i/>
          <w:iCs/>
        </w:rPr>
        <w:t xml:space="preserve"> …</w:t>
      </w:r>
      <w:r w:rsidRPr="00530492">
        <w:rPr>
          <w:i/>
          <w:iCs/>
        </w:rPr>
        <w:t xml:space="preserve"> It is neither possible nor helpful for an organisation to try to plan separately for all possible scenarios and responses.</w:t>
      </w:r>
      <w:r>
        <w:t>”</w:t>
      </w:r>
    </w:p>
    <w:p w14:paraId="76F7DDE1" w14:textId="77777777" w:rsidR="00CD1632" w:rsidRPr="00D56DAD" w:rsidRDefault="00CD1632" w:rsidP="00CD1632">
      <w:pPr>
        <w:pStyle w:val="ListParagraph"/>
        <w:spacing w:line="276" w:lineRule="auto"/>
        <w:jc w:val="both"/>
      </w:pPr>
    </w:p>
    <w:p w14:paraId="1E07FCE6" w14:textId="77777777" w:rsidR="00CD1632" w:rsidRPr="004F2F3F" w:rsidRDefault="00CD1632" w:rsidP="00CD1632">
      <w:pPr>
        <w:pStyle w:val="ListParagraph"/>
        <w:spacing w:line="276" w:lineRule="auto"/>
        <w:jc w:val="both"/>
        <w:rPr>
          <w:rFonts w:ascii="Arial" w:hAnsi="Arial" w:cs="Arial"/>
          <w:sz w:val="22"/>
          <w:szCs w:val="22"/>
          <w:lang w:val="en-US"/>
        </w:rPr>
      </w:pPr>
    </w:p>
    <w:p w14:paraId="337DB648" w14:textId="77777777" w:rsidR="00CD1632" w:rsidRPr="004F2F3F" w:rsidRDefault="00CD1632" w:rsidP="00CD1632">
      <w:pPr>
        <w:pStyle w:val="ListParagraph"/>
        <w:numPr>
          <w:ilvl w:val="0"/>
          <w:numId w:val="7"/>
        </w:numPr>
        <w:jc w:val="both"/>
        <w:rPr>
          <w:rFonts w:ascii="Arial" w:hAnsi="Arial" w:cs="Arial"/>
          <w:sz w:val="22"/>
          <w:szCs w:val="22"/>
          <w:lang w:val="en-US"/>
        </w:rPr>
      </w:pPr>
      <w:r>
        <w:rPr>
          <w:rFonts w:ascii="Arial" w:hAnsi="Arial" w:cs="Arial"/>
          <w:sz w:val="22"/>
          <w:szCs w:val="22"/>
          <w:lang w:val="en-US"/>
        </w:rPr>
        <w:t>‘</w:t>
      </w:r>
      <w:r w:rsidRPr="004F2F3F">
        <w:rPr>
          <w:rFonts w:ascii="Arial" w:hAnsi="Arial" w:cs="Arial"/>
          <w:sz w:val="22"/>
          <w:szCs w:val="22"/>
          <w:lang w:val="en-US"/>
        </w:rPr>
        <w:t xml:space="preserve">Lead </w:t>
      </w:r>
      <w:proofErr w:type="spellStart"/>
      <w:r w:rsidRPr="004F2F3F">
        <w:rPr>
          <w:rFonts w:ascii="Arial" w:hAnsi="Arial" w:cs="Arial"/>
          <w:sz w:val="22"/>
          <w:szCs w:val="22"/>
          <w:lang w:val="en-US"/>
        </w:rPr>
        <w:t>Organisation</w:t>
      </w:r>
      <w:proofErr w:type="spellEnd"/>
      <w:r>
        <w:rPr>
          <w:rFonts w:ascii="Arial" w:hAnsi="Arial" w:cs="Arial"/>
          <w:sz w:val="22"/>
          <w:szCs w:val="22"/>
          <w:lang w:val="en-US"/>
        </w:rPr>
        <w:t>’</w:t>
      </w:r>
      <w:r w:rsidRPr="004F2F3F">
        <w:rPr>
          <w:rFonts w:ascii="Arial" w:hAnsi="Arial" w:cs="Arial"/>
          <w:sz w:val="22"/>
          <w:szCs w:val="22"/>
          <w:lang w:val="en-US"/>
        </w:rPr>
        <w:t xml:space="preserve"> is defined as “</w:t>
      </w:r>
      <w:r w:rsidRPr="004F2F3F">
        <w:rPr>
          <w:rFonts w:ascii="Arial" w:hAnsi="Arial" w:cs="Arial"/>
          <w:i/>
          <w:iCs/>
          <w:sz w:val="22"/>
          <w:szCs w:val="22"/>
          <w:lang w:val="en-US"/>
        </w:rPr>
        <w:t xml:space="preserve">the Department or Agency responsible for preparedness for an emergency for which it is the designated lead. When an emergency occurs the lead </w:t>
      </w:r>
      <w:proofErr w:type="spellStart"/>
      <w:r w:rsidRPr="004F2F3F">
        <w:rPr>
          <w:rFonts w:ascii="Arial" w:hAnsi="Arial" w:cs="Arial"/>
          <w:i/>
          <w:iCs/>
          <w:sz w:val="22"/>
          <w:szCs w:val="22"/>
          <w:lang w:val="en-US"/>
        </w:rPr>
        <w:t>organisation</w:t>
      </w:r>
      <w:proofErr w:type="spellEnd"/>
      <w:r w:rsidRPr="004F2F3F">
        <w:rPr>
          <w:rFonts w:ascii="Arial" w:hAnsi="Arial" w:cs="Arial"/>
          <w:i/>
          <w:iCs/>
          <w:sz w:val="22"/>
          <w:szCs w:val="22"/>
          <w:lang w:val="en-US"/>
        </w:rPr>
        <w:t xml:space="preserve"> would co-ordinate the multi-agency response at the appropriate </w:t>
      </w:r>
      <w:proofErr w:type="gramStart"/>
      <w:r w:rsidRPr="004F2F3F">
        <w:rPr>
          <w:rFonts w:ascii="Arial" w:hAnsi="Arial" w:cs="Arial"/>
          <w:i/>
          <w:iCs/>
          <w:sz w:val="22"/>
          <w:szCs w:val="22"/>
          <w:lang w:val="en-US"/>
        </w:rPr>
        <w:t>level, or</w:t>
      </w:r>
      <w:proofErr w:type="gramEnd"/>
      <w:r w:rsidRPr="004F2F3F">
        <w:rPr>
          <w:rFonts w:ascii="Arial" w:hAnsi="Arial" w:cs="Arial"/>
          <w:i/>
          <w:iCs/>
          <w:sz w:val="22"/>
          <w:szCs w:val="22"/>
          <w:lang w:val="en-US"/>
        </w:rPr>
        <w:t xml:space="preserve"> provide input to the Northern Ireland Central Crisis Management Arrangements (Level 2 and 3 emergencies).</w:t>
      </w:r>
      <w:r w:rsidRPr="004F2F3F">
        <w:rPr>
          <w:rFonts w:ascii="Arial" w:hAnsi="Arial" w:cs="Arial"/>
          <w:sz w:val="22"/>
          <w:szCs w:val="22"/>
          <w:lang w:val="en-US"/>
        </w:rPr>
        <w:t>”</w:t>
      </w:r>
      <w:r>
        <w:rPr>
          <w:rFonts w:ascii="Arial" w:hAnsi="Arial" w:cs="Arial"/>
          <w:sz w:val="22"/>
          <w:szCs w:val="22"/>
          <w:lang w:val="en-US"/>
        </w:rPr>
        <w:t xml:space="preserve">  Paragraphs relevant to the scope of the ‘Lead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include: </w:t>
      </w:r>
      <w:r>
        <w:rPr>
          <w:lang w:val="en-US"/>
        </w:rPr>
        <w:t>r</w:t>
      </w:r>
      <w:r w:rsidRPr="004F2F3F">
        <w:rPr>
          <w:lang w:val="en-US"/>
        </w:rPr>
        <w:t>isk assessment (para 78)</w:t>
      </w:r>
      <w:r>
        <w:rPr>
          <w:lang w:val="en-US"/>
        </w:rPr>
        <w:t>; i</w:t>
      </w:r>
      <w:r w:rsidRPr="004F2F3F">
        <w:rPr>
          <w:rFonts w:ascii="Arial" w:hAnsi="Arial" w:cs="Arial"/>
          <w:sz w:val="22"/>
          <w:szCs w:val="22"/>
          <w:lang w:val="en-US"/>
        </w:rPr>
        <w:t>dentifying knock on effects (para 129)</w:t>
      </w:r>
      <w:r>
        <w:rPr>
          <w:rFonts w:ascii="Arial" w:hAnsi="Arial" w:cs="Arial"/>
          <w:sz w:val="22"/>
          <w:szCs w:val="22"/>
          <w:lang w:val="en-US"/>
        </w:rPr>
        <w:t>; i</w:t>
      </w:r>
      <w:r w:rsidRPr="004F2F3F">
        <w:rPr>
          <w:rFonts w:ascii="Arial" w:hAnsi="Arial" w:cs="Arial"/>
          <w:sz w:val="22"/>
          <w:szCs w:val="22"/>
          <w:lang w:val="en-US"/>
        </w:rPr>
        <w:t>nforming other agencies (para 130</w:t>
      </w:r>
      <w:r>
        <w:rPr>
          <w:rFonts w:ascii="Arial" w:hAnsi="Arial" w:cs="Arial"/>
          <w:sz w:val="22"/>
          <w:szCs w:val="22"/>
          <w:lang w:val="en-US"/>
        </w:rPr>
        <w:t>); r</w:t>
      </w:r>
      <w:r w:rsidRPr="004F2F3F">
        <w:rPr>
          <w:rFonts w:ascii="Arial" w:hAnsi="Arial" w:cs="Arial"/>
          <w:sz w:val="22"/>
          <w:szCs w:val="22"/>
          <w:lang w:val="en-US"/>
        </w:rPr>
        <w:t>esponsibility for joint planning (para 139)</w:t>
      </w:r>
      <w:r>
        <w:rPr>
          <w:rFonts w:ascii="Arial" w:hAnsi="Arial" w:cs="Arial"/>
          <w:sz w:val="22"/>
          <w:szCs w:val="22"/>
          <w:lang w:val="en-US"/>
        </w:rPr>
        <w:t>; l</w:t>
      </w:r>
      <w:r w:rsidRPr="004F2F3F">
        <w:rPr>
          <w:rFonts w:ascii="Arial" w:hAnsi="Arial" w:cs="Arial"/>
          <w:sz w:val="22"/>
          <w:szCs w:val="22"/>
          <w:lang w:val="en-US"/>
        </w:rPr>
        <w:t>iais</w:t>
      </w:r>
      <w:r>
        <w:rPr>
          <w:rFonts w:ascii="Arial" w:hAnsi="Arial" w:cs="Arial"/>
          <w:sz w:val="22"/>
          <w:szCs w:val="22"/>
          <w:lang w:val="en-US"/>
        </w:rPr>
        <w:t>ing</w:t>
      </w:r>
      <w:r w:rsidRPr="004F2F3F">
        <w:rPr>
          <w:rFonts w:ascii="Arial" w:hAnsi="Arial" w:cs="Arial"/>
          <w:sz w:val="22"/>
          <w:szCs w:val="22"/>
          <w:lang w:val="en-US"/>
        </w:rPr>
        <w:t xml:space="preserve"> on communications (para 144)</w:t>
      </w:r>
      <w:r>
        <w:rPr>
          <w:rFonts w:ascii="Arial" w:hAnsi="Arial" w:cs="Arial"/>
          <w:sz w:val="22"/>
          <w:szCs w:val="22"/>
          <w:lang w:val="en-US"/>
        </w:rPr>
        <w:t>; i</w:t>
      </w:r>
      <w:r w:rsidRPr="004F2F3F">
        <w:rPr>
          <w:rFonts w:ascii="Arial" w:hAnsi="Arial" w:cs="Arial"/>
          <w:sz w:val="22"/>
          <w:szCs w:val="22"/>
          <w:lang w:val="en-US"/>
        </w:rPr>
        <w:t>nforming other agencies of deployment arrangements (para 169)</w:t>
      </w:r>
      <w:r>
        <w:rPr>
          <w:rFonts w:ascii="Arial" w:hAnsi="Arial" w:cs="Arial"/>
          <w:sz w:val="22"/>
          <w:szCs w:val="22"/>
          <w:lang w:val="en-US"/>
        </w:rPr>
        <w:t xml:space="preserve">; </w:t>
      </w:r>
      <w:r w:rsidRPr="004F2F3F">
        <w:rPr>
          <w:rFonts w:ascii="Arial" w:hAnsi="Arial" w:cs="Arial"/>
          <w:sz w:val="22"/>
          <w:szCs w:val="22"/>
          <w:lang w:val="en-US"/>
        </w:rPr>
        <w:t>co-ordination w</w:t>
      </w:r>
      <w:r>
        <w:rPr>
          <w:rFonts w:ascii="Arial" w:hAnsi="Arial" w:cs="Arial"/>
          <w:sz w:val="22"/>
          <w:szCs w:val="22"/>
          <w:lang w:val="en-US"/>
        </w:rPr>
        <w:t xml:space="preserve">ith </w:t>
      </w:r>
      <w:r w:rsidRPr="004F2F3F">
        <w:rPr>
          <w:rFonts w:ascii="Arial" w:hAnsi="Arial" w:cs="Arial"/>
          <w:sz w:val="22"/>
          <w:szCs w:val="22"/>
          <w:lang w:val="en-US"/>
        </w:rPr>
        <w:t>other responders (para 172</w:t>
      </w:r>
      <w:r>
        <w:rPr>
          <w:rFonts w:ascii="Arial" w:hAnsi="Arial" w:cs="Arial"/>
          <w:sz w:val="22"/>
          <w:szCs w:val="22"/>
          <w:lang w:val="en-US"/>
        </w:rPr>
        <w:t>); and scope</w:t>
      </w:r>
      <w:r w:rsidRPr="004F2F3F">
        <w:rPr>
          <w:rFonts w:ascii="Arial" w:hAnsi="Arial" w:cs="Arial"/>
          <w:sz w:val="22"/>
          <w:szCs w:val="22"/>
          <w:lang w:val="en-US"/>
        </w:rPr>
        <w:t xml:space="preserve"> (para 211)</w:t>
      </w:r>
      <w:r>
        <w:rPr>
          <w:rFonts w:ascii="Arial" w:hAnsi="Arial" w:cs="Arial"/>
          <w:sz w:val="22"/>
          <w:szCs w:val="22"/>
          <w:lang w:val="en-US"/>
        </w:rPr>
        <w:t>.</w:t>
      </w:r>
    </w:p>
    <w:p w14:paraId="78C6C0DE" w14:textId="77777777" w:rsidR="00CD1632" w:rsidRPr="004F2F3F" w:rsidRDefault="00CD1632" w:rsidP="00CD1632">
      <w:pPr>
        <w:pStyle w:val="ListParagraph"/>
        <w:spacing w:line="276" w:lineRule="auto"/>
        <w:jc w:val="both"/>
        <w:rPr>
          <w:rFonts w:ascii="Arial" w:hAnsi="Arial" w:cs="Arial"/>
          <w:sz w:val="22"/>
          <w:szCs w:val="22"/>
          <w:lang w:val="en-US"/>
        </w:rPr>
      </w:pPr>
    </w:p>
    <w:p w14:paraId="7BE2073F" w14:textId="77777777" w:rsidR="00CD1632" w:rsidRPr="004F2F3F" w:rsidRDefault="00CD1632" w:rsidP="00CD1632">
      <w:pPr>
        <w:pStyle w:val="ListParagraph"/>
        <w:numPr>
          <w:ilvl w:val="0"/>
          <w:numId w:val="7"/>
        </w:numPr>
        <w:spacing w:line="276" w:lineRule="auto"/>
        <w:jc w:val="both"/>
        <w:rPr>
          <w:rFonts w:ascii="Arial" w:hAnsi="Arial" w:cs="Arial"/>
          <w:sz w:val="22"/>
          <w:szCs w:val="22"/>
          <w:lang w:val="en-US"/>
        </w:rPr>
      </w:pPr>
      <w:r w:rsidRPr="004F2F3F">
        <w:rPr>
          <w:rFonts w:ascii="Arial" w:hAnsi="Arial" w:cs="Arial"/>
          <w:sz w:val="22"/>
          <w:szCs w:val="22"/>
          <w:lang w:val="en-US"/>
        </w:rPr>
        <w:t xml:space="preserve">The role and authority of a Lead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or LGD </w:t>
      </w:r>
      <w:r w:rsidRPr="004F2F3F">
        <w:rPr>
          <w:rFonts w:ascii="Arial" w:hAnsi="Arial" w:cs="Arial"/>
          <w:sz w:val="22"/>
          <w:szCs w:val="22"/>
          <w:lang w:val="en-US"/>
        </w:rPr>
        <w:t>is not to take over and direct the actions of other departments</w:t>
      </w:r>
      <w:r>
        <w:rPr>
          <w:rFonts w:ascii="Arial" w:hAnsi="Arial" w:cs="Arial"/>
          <w:sz w:val="22"/>
          <w:szCs w:val="22"/>
          <w:lang w:val="en-US"/>
        </w:rPr>
        <w:t>, rather</w:t>
      </w:r>
      <w:r w:rsidRPr="004F2F3F">
        <w:rPr>
          <w:rFonts w:ascii="Arial" w:hAnsi="Arial" w:cs="Arial"/>
          <w:sz w:val="22"/>
          <w:szCs w:val="22"/>
          <w:lang w:val="en-US"/>
        </w:rPr>
        <w:t xml:space="preserve"> as stated in the CCG(NI) Protocol:</w:t>
      </w:r>
    </w:p>
    <w:p w14:paraId="293CECCE" w14:textId="77777777" w:rsidR="00CD1632" w:rsidRPr="004F2F3F" w:rsidRDefault="00CD1632" w:rsidP="00CD1632">
      <w:pPr>
        <w:spacing w:line="276" w:lineRule="auto"/>
        <w:ind w:left="1440"/>
        <w:jc w:val="both"/>
        <w:rPr>
          <w:rFonts w:ascii="Arial" w:hAnsi="Arial" w:cs="Arial"/>
          <w:sz w:val="22"/>
          <w:szCs w:val="22"/>
          <w:lang w:val="en-US"/>
        </w:rPr>
      </w:pPr>
      <w:r w:rsidRPr="004F2F3F">
        <w:rPr>
          <w:rFonts w:ascii="Arial" w:hAnsi="Arial" w:cs="Arial"/>
          <w:sz w:val="22"/>
          <w:szCs w:val="22"/>
          <w:lang w:val="en-US"/>
        </w:rPr>
        <w:t>“</w:t>
      </w:r>
      <w:r w:rsidRPr="004F2F3F">
        <w:rPr>
          <w:rFonts w:ascii="Arial" w:hAnsi="Arial" w:cs="Arial"/>
          <w:i/>
          <w:iCs/>
          <w:sz w:val="22"/>
          <w:szCs w:val="22"/>
          <w:lang w:val="en-US"/>
        </w:rPr>
        <w:t>Cross—departmental co-ordination and support will be provided by TEO through the activation of NICCMA.</w:t>
      </w:r>
      <w:r w:rsidRPr="004F2F3F">
        <w:rPr>
          <w:rStyle w:val="FootnoteReference"/>
          <w:rFonts w:ascii="Arial" w:hAnsi="Arial" w:cs="Arial"/>
          <w:i/>
          <w:iCs/>
          <w:sz w:val="22"/>
          <w:szCs w:val="22"/>
          <w:lang w:val="en-US"/>
        </w:rPr>
        <w:footnoteReference w:id="6"/>
      </w:r>
      <w:r w:rsidRPr="004F2F3F">
        <w:rPr>
          <w:rFonts w:ascii="Arial" w:hAnsi="Arial" w:cs="Arial"/>
          <w:i/>
          <w:iCs/>
          <w:sz w:val="22"/>
          <w:szCs w:val="22"/>
          <w:lang w:val="en-US"/>
        </w:rPr>
        <w:t>”</w:t>
      </w:r>
    </w:p>
    <w:p w14:paraId="21556A7D" w14:textId="77777777" w:rsidR="00CD1632" w:rsidRPr="004F2F3F" w:rsidRDefault="00CD1632" w:rsidP="00CD1632">
      <w:pPr>
        <w:pStyle w:val="ListParagraph"/>
        <w:spacing w:line="276" w:lineRule="auto"/>
        <w:jc w:val="both"/>
        <w:rPr>
          <w:rFonts w:ascii="Arial" w:hAnsi="Arial" w:cs="Arial"/>
          <w:sz w:val="22"/>
          <w:szCs w:val="22"/>
          <w:lang w:val="en-US"/>
        </w:rPr>
      </w:pPr>
    </w:p>
    <w:p w14:paraId="64E2F41B"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 xml:space="preserve">If </w:t>
      </w:r>
      <w:proofErr w:type="gramStart"/>
      <w:r w:rsidRPr="004F2F3F">
        <w:rPr>
          <w:rFonts w:ascii="Arial" w:hAnsi="Arial" w:cs="Arial"/>
          <w:sz w:val="22"/>
          <w:szCs w:val="22"/>
          <w:lang w:val="en-US"/>
        </w:rPr>
        <w:t>DoH</w:t>
      </w:r>
      <w:proofErr w:type="gramEnd"/>
      <w:r w:rsidRPr="004F2F3F">
        <w:rPr>
          <w:rFonts w:ascii="Arial" w:hAnsi="Arial" w:cs="Arial"/>
          <w:sz w:val="22"/>
          <w:szCs w:val="22"/>
          <w:lang w:val="en-US"/>
        </w:rPr>
        <w:t xml:space="preserve"> </w:t>
      </w:r>
      <w:r>
        <w:rPr>
          <w:rFonts w:ascii="Arial" w:hAnsi="Arial" w:cs="Arial"/>
          <w:sz w:val="22"/>
          <w:szCs w:val="22"/>
          <w:lang w:val="en-US"/>
        </w:rPr>
        <w:t>had ‘led’</w:t>
      </w:r>
      <w:r w:rsidRPr="004F2F3F">
        <w:rPr>
          <w:rFonts w:ascii="Arial" w:hAnsi="Arial" w:cs="Arial"/>
          <w:sz w:val="22"/>
          <w:szCs w:val="22"/>
          <w:lang w:val="en-US"/>
        </w:rPr>
        <w:t xml:space="preserve"> other departments</w:t>
      </w:r>
      <w:r>
        <w:rPr>
          <w:rFonts w:ascii="Arial" w:hAnsi="Arial" w:cs="Arial"/>
          <w:sz w:val="22"/>
          <w:szCs w:val="22"/>
          <w:lang w:val="en-US"/>
        </w:rPr>
        <w:t xml:space="preserve">’ response </w:t>
      </w:r>
      <w:r w:rsidRPr="004F2F3F">
        <w:rPr>
          <w:rFonts w:ascii="Arial" w:hAnsi="Arial" w:cs="Arial"/>
          <w:sz w:val="22"/>
          <w:szCs w:val="22"/>
          <w:lang w:val="en-US"/>
        </w:rPr>
        <w:t>to the threat of Covid-19</w:t>
      </w:r>
      <w:r>
        <w:rPr>
          <w:rFonts w:ascii="Arial" w:hAnsi="Arial" w:cs="Arial"/>
          <w:sz w:val="22"/>
          <w:szCs w:val="22"/>
          <w:lang w:val="en-US"/>
        </w:rPr>
        <w:t>, in terms of directing what they should do, this</w:t>
      </w:r>
      <w:r w:rsidRPr="004F2F3F">
        <w:rPr>
          <w:rFonts w:ascii="Arial" w:hAnsi="Arial" w:cs="Arial"/>
          <w:sz w:val="22"/>
          <w:szCs w:val="22"/>
          <w:lang w:val="en-US"/>
        </w:rPr>
        <w:t xml:space="preserve"> would have contravened the constitutional arrangements wherein each department is a separate legal entity, headed by its own Minister.  A </w:t>
      </w:r>
      <w:r>
        <w:rPr>
          <w:rFonts w:ascii="Arial" w:hAnsi="Arial" w:cs="Arial"/>
          <w:sz w:val="22"/>
          <w:szCs w:val="22"/>
          <w:lang w:val="en-US"/>
        </w:rPr>
        <w:t xml:space="preserve">LGD </w:t>
      </w:r>
      <w:r w:rsidRPr="004F2F3F">
        <w:rPr>
          <w:rFonts w:ascii="Arial" w:hAnsi="Arial" w:cs="Arial"/>
          <w:sz w:val="22"/>
          <w:szCs w:val="22"/>
          <w:lang w:val="en-US"/>
        </w:rPr>
        <w:t>cannot activate 'Northern Ireland Central Crisis Management Arrangements' (</w:t>
      </w:r>
      <w:r>
        <w:rPr>
          <w:rFonts w:ascii="Arial" w:hAnsi="Arial" w:cs="Arial"/>
          <w:sz w:val="22"/>
          <w:szCs w:val="22"/>
          <w:lang w:val="en-US"/>
        </w:rPr>
        <w:t>‘</w:t>
      </w:r>
      <w:r w:rsidRPr="004F2F3F">
        <w:rPr>
          <w:rFonts w:ascii="Arial" w:hAnsi="Arial" w:cs="Arial"/>
          <w:sz w:val="22"/>
          <w:szCs w:val="22"/>
          <w:lang w:val="en-US"/>
        </w:rPr>
        <w:t>NICCMA</w:t>
      </w:r>
      <w:r>
        <w:rPr>
          <w:rFonts w:ascii="Arial" w:hAnsi="Arial" w:cs="Arial"/>
          <w:sz w:val="22"/>
          <w:szCs w:val="22"/>
          <w:lang w:val="en-US"/>
        </w:rPr>
        <w:t>’</w:t>
      </w:r>
      <w:r w:rsidRPr="004F2F3F">
        <w:rPr>
          <w:rFonts w:ascii="Arial" w:hAnsi="Arial" w:cs="Arial"/>
          <w:sz w:val="22"/>
          <w:szCs w:val="22"/>
          <w:lang w:val="en-US"/>
        </w:rPr>
        <w:t>)  in Northern Ireland. The CCG(NI)</w:t>
      </w:r>
      <w:r>
        <w:rPr>
          <w:rStyle w:val="FootnoteReference"/>
          <w:rFonts w:ascii="Arial" w:hAnsi="Arial" w:cs="Arial"/>
          <w:sz w:val="22"/>
          <w:szCs w:val="22"/>
          <w:lang w:val="en-US"/>
        </w:rPr>
        <w:footnoteReference w:id="7"/>
      </w:r>
      <w:r w:rsidRPr="004F2F3F">
        <w:rPr>
          <w:rFonts w:ascii="Arial" w:hAnsi="Arial" w:cs="Arial"/>
          <w:sz w:val="22"/>
          <w:szCs w:val="22"/>
          <w:lang w:val="en-US"/>
        </w:rPr>
        <w:t xml:space="preserve"> Protocol for the Northern Ireland Central Crisis Management Arrangements (September 2016) (CCG(NI) Protocol) sets out </w:t>
      </w:r>
      <w:r>
        <w:rPr>
          <w:rFonts w:ascii="Arial" w:hAnsi="Arial" w:cs="Arial"/>
          <w:sz w:val="22"/>
          <w:szCs w:val="22"/>
          <w:lang w:val="en-US"/>
        </w:rPr>
        <w:t xml:space="preserve">the provisions for </w:t>
      </w:r>
      <w:r w:rsidRPr="004F2F3F">
        <w:rPr>
          <w:rFonts w:ascii="Arial" w:hAnsi="Arial" w:cs="Arial"/>
          <w:sz w:val="22"/>
          <w:szCs w:val="22"/>
          <w:lang w:val="en-US"/>
        </w:rPr>
        <w:t>NICCMA as follows:</w:t>
      </w:r>
    </w:p>
    <w:p w14:paraId="71BBA093" w14:textId="77777777" w:rsidR="00CD1632" w:rsidRPr="00D86495" w:rsidRDefault="00CD1632" w:rsidP="00CD1632">
      <w:pPr>
        <w:pStyle w:val="ListParagraph"/>
        <w:spacing w:line="276" w:lineRule="auto"/>
        <w:ind w:left="1440"/>
        <w:jc w:val="both"/>
        <w:rPr>
          <w:rFonts w:ascii="Arial" w:hAnsi="Arial" w:cs="Arial"/>
          <w:sz w:val="22"/>
          <w:szCs w:val="22"/>
          <w:lang w:val="en-US"/>
        </w:rPr>
      </w:pPr>
      <w:r w:rsidRPr="00D86495">
        <w:rPr>
          <w:rFonts w:ascii="Arial" w:hAnsi="Arial" w:cs="Arial"/>
          <w:sz w:val="22"/>
          <w:szCs w:val="22"/>
          <w:lang w:val="en-US"/>
        </w:rPr>
        <w:t>“</w:t>
      </w:r>
      <w:r w:rsidRPr="00D86495">
        <w:rPr>
          <w:rFonts w:ascii="Arial" w:hAnsi="Arial" w:cs="Arial"/>
          <w:i/>
          <w:iCs/>
          <w:sz w:val="22"/>
          <w:szCs w:val="22"/>
          <w:lang w:val="en-US"/>
        </w:rPr>
        <w:t xml:space="preserve">The First Minister and deputy First Minister or TEO may activate NICCMA following a request to do so from the Executive; the Lead Government Department; a senior representative from the NIO Briefing Room (NIOBR); a senior member of PSNI involved in the Police led multi agency GOLD group; the local level </w:t>
      </w:r>
      <w:proofErr w:type="spellStart"/>
      <w:r w:rsidRPr="00D86495">
        <w:rPr>
          <w:rFonts w:ascii="Arial" w:hAnsi="Arial" w:cs="Arial"/>
          <w:i/>
          <w:iCs/>
          <w:sz w:val="22"/>
          <w:szCs w:val="22"/>
          <w:lang w:val="en-US"/>
        </w:rPr>
        <w:t>co-ordinator</w:t>
      </w:r>
      <w:proofErr w:type="spellEnd"/>
      <w:r w:rsidRPr="00D86495">
        <w:rPr>
          <w:rFonts w:ascii="Arial" w:hAnsi="Arial" w:cs="Arial"/>
          <w:i/>
          <w:iCs/>
          <w:sz w:val="22"/>
          <w:szCs w:val="22"/>
          <w:lang w:val="en-US"/>
        </w:rPr>
        <w:t>; or in the absence of any such requests, whenever TEO judges it appropriate to do so.</w:t>
      </w:r>
      <w:r w:rsidRPr="00D86495">
        <w:rPr>
          <w:rStyle w:val="FootnoteReference"/>
          <w:rFonts w:ascii="Arial" w:hAnsi="Arial" w:cs="Arial"/>
          <w:i/>
          <w:iCs/>
          <w:sz w:val="22"/>
          <w:szCs w:val="22"/>
          <w:lang w:val="en-US"/>
        </w:rPr>
        <w:footnoteReference w:id="8"/>
      </w:r>
      <w:r w:rsidRPr="00D86495">
        <w:rPr>
          <w:rFonts w:ascii="Arial" w:hAnsi="Arial" w:cs="Arial"/>
          <w:sz w:val="22"/>
          <w:szCs w:val="22"/>
          <w:lang w:val="en-US"/>
        </w:rPr>
        <w:t>”</w:t>
      </w:r>
      <w:r w:rsidRPr="00D86495" w:rsidDel="00985DC9">
        <w:rPr>
          <w:rFonts w:ascii="Arial" w:hAnsi="Arial" w:cs="Arial"/>
          <w:sz w:val="22"/>
          <w:szCs w:val="22"/>
          <w:lang w:val="en-US"/>
        </w:rPr>
        <w:t xml:space="preserve"> </w:t>
      </w:r>
    </w:p>
    <w:p w14:paraId="460C0F67" w14:textId="77777777" w:rsidR="00CD1632" w:rsidRPr="00D86495" w:rsidRDefault="00CD1632" w:rsidP="00CD1632">
      <w:pPr>
        <w:pStyle w:val="ListParagraph"/>
        <w:spacing w:line="276" w:lineRule="auto"/>
        <w:ind w:left="1440"/>
        <w:jc w:val="both"/>
        <w:rPr>
          <w:rFonts w:ascii="Arial" w:hAnsi="Arial" w:cs="Arial"/>
          <w:sz w:val="22"/>
          <w:szCs w:val="22"/>
          <w:lang w:val="en-US"/>
        </w:rPr>
      </w:pPr>
    </w:p>
    <w:p w14:paraId="57B7C0C0"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CCG(NI) is normally to be chaired by HOCS(NI)</w:t>
      </w:r>
      <w:r w:rsidRPr="00D86495">
        <w:rPr>
          <w:rStyle w:val="FootnoteReference"/>
          <w:rFonts w:ascii="Arial" w:hAnsi="Arial" w:cs="Arial"/>
          <w:sz w:val="22"/>
          <w:szCs w:val="22"/>
          <w:lang w:val="en-US"/>
        </w:rPr>
        <w:footnoteReference w:id="9"/>
      </w:r>
      <w:r w:rsidRPr="00D86495">
        <w:rPr>
          <w:rFonts w:ascii="Arial" w:hAnsi="Arial" w:cs="Arial"/>
          <w:sz w:val="22"/>
          <w:szCs w:val="22"/>
          <w:lang w:val="en-US"/>
        </w:rPr>
        <w:t xml:space="preserve">. NICCMA confirms that there can be multiple </w:t>
      </w:r>
      <w:r>
        <w:rPr>
          <w:rFonts w:ascii="Arial" w:hAnsi="Arial" w:cs="Arial"/>
          <w:sz w:val="22"/>
          <w:szCs w:val="22"/>
          <w:lang w:val="en-US"/>
        </w:rPr>
        <w:t xml:space="preserve">LGDs </w:t>
      </w:r>
      <w:r w:rsidRPr="00D86495">
        <w:rPr>
          <w:rFonts w:ascii="Arial" w:hAnsi="Arial" w:cs="Arial"/>
          <w:sz w:val="22"/>
          <w:szCs w:val="22"/>
          <w:lang w:val="en-US"/>
        </w:rPr>
        <w:t>in a multi-faceted emergency</w:t>
      </w:r>
      <w:r w:rsidRPr="00D86495">
        <w:rPr>
          <w:rStyle w:val="FootnoteReference"/>
          <w:rFonts w:ascii="Arial" w:hAnsi="Arial" w:cs="Arial"/>
          <w:sz w:val="22"/>
          <w:szCs w:val="22"/>
          <w:lang w:val="en-US"/>
        </w:rPr>
        <w:footnoteReference w:id="10"/>
      </w:r>
      <w:r w:rsidRPr="00D86495">
        <w:rPr>
          <w:rFonts w:ascii="Arial" w:hAnsi="Arial" w:cs="Arial"/>
          <w:sz w:val="22"/>
          <w:szCs w:val="22"/>
          <w:lang w:val="en-US"/>
        </w:rPr>
        <w:t>. The arrangements for activation of NICCMA, including the NI Hub, were addressed in a memo to the HOCS from CCPB on 30 January 2020</w:t>
      </w:r>
      <w:r w:rsidRPr="00D86495">
        <w:rPr>
          <w:rStyle w:val="FootnoteReference"/>
          <w:rFonts w:ascii="Arial" w:hAnsi="Arial" w:cs="Arial"/>
          <w:sz w:val="22"/>
          <w:szCs w:val="22"/>
          <w:lang w:val="en-US"/>
        </w:rPr>
        <w:footnoteReference w:id="11"/>
      </w:r>
      <w:r w:rsidRPr="00D86495">
        <w:rPr>
          <w:rFonts w:ascii="Arial" w:hAnsi="Arial" w:cs="Arial"/>
          <w:sz w:val="22"/>
          <w:szCs w:val="22"/>
          <w:lang w:val="en-US"/>
        </w:rPr>
        <w:t>.</w:t>
      </w:r>
    </w:p>
    <w:p w14:paraId="3F6A79E4" w14:textId="77777777" w:rsidR="00CD1632" w:rsidRPr="00D86495" w:rsidRDefault="00CD1632" w:rsidP="00CD1632">
      <w:pPr>
        <w:pStyle w:val="ListParagraph"/>
        <w:spacing w:line="276" w:lineRule="auto"/>
        <w:jc w:val="both"/>
        <w:rPr>
          <w:rFonts w:ascii="Arial" w:hAnsi="Arial" w:cs="Arial"/>
          <w:sz w:val="22"/>
          <w:szCs w:val="22"/>
          <w:lang w:val="en-US"/>
        </w:rPr>
      </w:pPr>
    </w:p>
    <w:p w14:paraId="72D2E822"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The CCG(NI) Protocol separates emergencies into local and strategic levels</w:t>
      </w:r>
      <w:r w:rsidRPr="00D86495">
        <w:rPr>
          <w:rStyle w:val="FootnoteReference"/>
          <w:rFonts w:ascii="Arial" w:hAnsi="Arial" w:cs="Arial"/>
          <w:sz w:val="22"/>
          <w:szCs w:val="22"/>
          <w:lang w:val="en-US"/>
        </w:rPr>
        <w:footnoteReference w:id="12"/>
      </w:r>
      <w:r w:rsidRPr="00D86495">
        <w:rPr>
          <w:rFonts w:ascii="Arial" w:hAnsi="Arial" w:cs="Arial"/>
          <w:sz w:val="22"/>
          <w:szCs w:val="22"/>
          <w:lang w:val="en-US"/>
        </w:rPr>
        <w:t>. Strategic levels have three bands (Level 1: Significant</w:t>
      </w:r>
      <w:r w:rsidRPr="00D86495">
        <w:rPr>
          <w:rStyle w:val="FootnoteReference"/>
          <w:rFonts w:ascii="Arial" w:hAnsi="Arial" w:cs="Arial"/>
          <w:sz w:val="22"/>
          <w:szCs w:val="22"/>
          <w:lang w:val="en-US"/>
        </w:rPr>
        <w:footnoteReference w:id="13"/>
      </w:r>
      <w:r w:rsidRPr="00D86495">
        <w:rPr>
          <w:rFonts w:ascii="Arial" w:hAnsi="Arial" w:cs="Arial"/>
          <w:sz w:val="22"/>
          <w:szCs w:val="22"/>
          <w:lang w:val="en-US"/>
        </w:rPr>
        <w:t>, Level 2: Serious</w:t>
      </w:r>
      <w:r w:rsidRPr="00D86495">
        <w:rPr>
          <w:rStyle w:val="FootnoteReference"/>
          <w:rFonts w:ascii="Arial" w:hAnsi="Arial" w:cs="Arial"/>
          <w:sz w:val="22"/>
          <w:szCs w:val="22"/>
          <w:lang w:val="en-US"/>
        </w:rPr>
        <w:footnoteReference w:id="14"/>
      </w:r>
      <w:r w:rsidRPr="00D86495">
        <w:rPr>
          <w:rFonts w:ascii="Arial" w:hAnsi="Arial" w:cs="Arial"/>
          <w:sz w:val="22"/>
          <w:szCs w:val="22"/>
          <w:lang w:val="en-US"/>
        </w:rPr>
        <w:t>, and Level 3: Catastrophic</w:t>
      </w:r>
      <w:r w:rsidRPr="00D86495">
        <w:rPr>
          <w:rStyle w:val="FootnoteReference"/>
          <w:rFonts w:ascii="Arial" w:hAnsi="Arial" w:cs="Arial"/>
          <w:sz w:val="22"/>
          <w:szCs w:val="22"/>
          <w:lang w:val="en-US"/>
        </w:rPr>
        <w:footnoteReference w:id="15"/>
      </w:r>
      <w:r w:rsidRPr="00D86495">
        <w:rPr>
          <w:rFonts w:ascii="Arial" w:hAnsi="Arial" w:cs="Arial"/>
          <w:sz w:val="22"/>
          <w:szCs w:val="22"/>
          <w:lang w:val="en-US"/>
        </w:rPr>
        <w:t>). At Level 1, the Lead Government Department facilitates co-ordination.  This is in contrast to when the emergency meets the criteria of Levels 2 and 3, when TEO facilitates the strategic multi-agency co-ordination th</w:t>
      </w:r>
      <w:r>
        <w:rPr>
          <w:rFonts w:ascii="Arial" w:hAnsi="Arial" w:cs="Arial"/>
          <w:sz w:val="22"/>
          <w:szCs w:val="22"/>
          <w:lang w:val="en-US"/>
        </w:rPr>
        <w:t>r</w:t>
      </w:r>
      <w:r w:rsidRPr="00D86495">
        <w:rPr>
          <w:rFonts w:ascii="Arial" w:hAnsi="Arial" w:cs="Arial"/>
          <w:sz w:val="22"/>
          <w:szCs w:val="22"/>
          <w:lang w:val="en-US"/>
        </w:rPr>
        <w:t>ough the activation of NICCMA</w:t>
      </w:r>
      <w:r w:rsidRPr="00D86495">
        <w:rPr>
          <w:rStyle w:val="FootnoteReference"/>
          <w:rFonts w:ascii="Arial" w:hAnsi="Arial" w:cs="Arial"/>
          <w:sz w:val="22"/>
          <w:szCs w:val="22"/>
          <w:lang w:val="en-US"/>
        </w:rPr>
        <w:footnoteReference w:id="16"/>
      </w:r>
      <w:r w:rsidRPr="00D86495">
        <w:rPr>
          <w:rFonts w:ascii="Arial" w:hAnsi="Arial" w:cs="Arial"/>
          <w:sz w:val="22"/>
          <w:szCs w:val="22"/>
          <w:lang w:val="en-US"/>
        </w:rPr>
        <w:t xml:space="preserve">.  The UK moved from ‘containment’ to ‘delay’ on 11 March 2020, </w:t>
      </w:r>
      <w:r>
        <w:rPr>
          <w:rFonts w:ascii="Arial" w:hAnsi="Arial" w:cs="Arial"/>
          <w:sz w:val="22"/>
          <w:szCs w:val="22"/>
          <w:lang w:val="en-US"/>
        </w:rPr>
        <w:t xml:space="preserve">being </w:t>
      </w:r>
      <w:r w:rsidRPr="00D86495">
        <w:rPr>
          <w:rFonts w:ascii="Arial" w:hAnsi="Arial" w:cs="Arial"/>
          <w:sz w:val="22"/>
          <w:szCs w:val="22"/>
          <w:lang w:val="en-US"/>
        </w:rPr>
        <w:t xml:space="preserve">the point when sustained community transmission in the UK was </w:t>
      </w:r>
      <w:proofErr w:type="spellStart"/>
      <w:r w:rsidRPr="00D86495">
        <w:rPr>
          <w:rFonts w:ascii="Arial" w:hAnsi="Arial" w:cs="Arial"/>
          <w:sz w:val="22"/>
          <w:szCs w:val="22"/>
          <w:lang w:val="en-US"/>
        </w:rPr>
        <w:t>recognised</w:t>
      </w:r>
      <w:proofErr w:type="spellEnd"/>
      <w:r w:rsidRPr="00D86495">
        <w:rPr>
          <w:rFonts w:ascii="Arial" w:hAnsi="Arial" w:cs="Arial"/>
          <w:sz w:val="22"/>
          <w:szCs w:val="22"/>
          <w:lang w:val="en-US"/>
        </w:rPr>
        <w:t xml:space="preserve"> as occurring.  It would appear uncontroversial that Covid-19 would be at least a level 2, if not a level 3 emergency, and so require TEO to coordinate the strategic multi-agency response.  </w:t>
      </w:r>
    </w:p>
    <w:p w14:paraId="2020450F" w14:textId="77777777" w:rsidR="00CD1632" w:rsidRPr="00530492" w:rsidRDefault="00CD1632" w:rsidP="00CD1632">
      <w:pPr>
        <w:pStyle w:val="ListParagraph"/>
        <w:rPr>
          <w:rFonts w:ascii="Arial" w:hAnsi="Arial" w:cs="Arial"/>
          <w:sz w:val="22"/>
          <w:szCs w:val="22"/>
          <w:lang w:val="en-US"/>
        </w:rPr>
      </w:pPr>
    </w:p>
    <w:p w14:paraId="110608B9" w14:textId="77777777"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When an emergency arises, for which it has been nominated as the</w:t>
      </w:r>
      <w:r>
        <w:rPr>
          <w:rFonts w:ascii="Arial" w:hAnsi="Arial" w:cs="Arial"/>
          <w:sz w:val="22"/>
          <w:szCs w:val="22"/>
          <w:lang w:val="en-US"/>
        </w:rPr>
        <w:t xml:space="preserve"> LGD</w:t>
      </w:r>
      <w:r w:rsidRPr="006F164F">
        <w:rPr>
          <w:rFonts w:ascii="Arial" w:hAnsi="Arial" w:cs="Arial"/>
          <w:sz w:val="22"/>
          <w:szCs w:val="22"/>
          <w:lang w:val="en-US"/>
        </w:rPr>
        <w:t xml:space="preserve">, </w:t>
      </w:r>
      <w:proofErr w:type="gramStart"/>
      <w:r w:rsidRPr="006F164F">
        <w:rPr>
          <w:rFonts w:ascii="Arial" w:hAnsi="Arial" w:cs="Arial"/>
          <w:sz w:val="22"/>
          <w:szCs w:val="22"/>
          <w:lang w:val="en-US"/>
        </w:rPr>
        <w:t>DoH</w:t>
      </w:r>
      <w:proofErr w:type="gramEnd"/>
      <w:r w:rsidRPr="006F164F">
        <w:rPr>
          <w:rFonts w:ascii="Arial" w:hAnsi="Arial" w:cs="Arial"/>
          <w:sz w:val="22"/>
          <w:szCs w:val="22"/>
          <w:lang w:val="en-US"/>
        </w:rPr>
        <w:t xml:space="preserve"> takes strategic control of the health response by engaging with its multi-agency partners to facilitate a shared situational awareness and ensure a collaborative response to the emergency. It is important to note that </w:t>
      </w:r>
      <w:proofErr w:type="gramStart"/>
      <w:r w:rsidRPr="006F164F">
        <w:rPr>
          <w:rFonts w:ascii="Arial" w:hAnsi="Arial" w:cs="Arial"/>
          <w:sz w:val="22"/>
          <w:szCs w:val="22"/>
          <w:lang w:val="en-US"/>
        </w:rPr>
        <w:t>DoH</w:t>
      </w:r>
      <w:proofErr w:type="gramEnd"/>
      <w:r w:rsidRPr="006F164F">
        <w:rPr>
          <w:rFonts w:ascii="Arial" w:hAnsi="Arial" w:cs="Arial"/>
          <w:sz w:val="22"/>
          <w:szCs w:val="22"/>
          <w:lang w:val="en-US"/>
        </w:rPr>
        <w:t xml:space="preserve"> does not have the power to direct the response or commit other departments’ resources in dealing with an emergency. DoH’s only role in respect of other departments’ response efforts is to provide strategic health and social care policy advice or direction.  </w:t>
      </w:r>
    </w:p>
    <w:p w14:paraId="2F89647E" w14:textId="77777777" w:rsidR="00CD1632" w:rsidRPr="006F164F" w:rsidRDefault="00CD1632" w:rsidP="00CD1632">
      <w:pPr>
        <w:pStyle w:val="ListParagraph"/>
        <w:spacing w:line="276" w:lineRule="auto"/>
        <w:jc w:val="both"/>
        <w:rPr>
          <w:rFonts w:ascii="Arial" w:hAnsi="Arial" w:cs="Arial"/>
          <w:sz w:val="22"/>
          <w:szCs w:val="22"/>
          <w:lang w:val="en-US"/>
        </w:rPr>
      </w:pPr>
    </w:p>
    <w:p w14:paraId="44E113F5" w14:textId="77777777" w:rsidR="00CD1632" w:rsidRPr="00530492" w:rsidRDefault="00CD1632" w:rsidP="00CD1632">
      <w:pPr>
        <w:pStyle w:val="ListParagraph"/>
        <w:spacing w:line="276" w:lineRule="auto"/>
        <w:jc w:val="both"/>
        <w:rPr>
          <w:rFonts w:ascii="Arial" w:hAnsi="Arial" w:cs="Arial"/>
          <w:b/>
          <w:bCs/>
          <w:sz w:val="22"/>
          <w:szCs w:val="22"/>
          <w:u w:val="single"/>
          <w:lang w:val="en-US"/>
        </w:rPr>
      </w:pPr>
      <w:r w:rsidRPr="00530492">
        <w:rPr>
          <w:rFonts w:ascii="Arial" w:hAnsi="Arial" w:cs="Arial"/>
          <w:b/>
          <w:bCs/>
          <w:sz w:val="22"/>
          <w:szCs w:val="22"/>
          <w:u w:val="single"/>
          <w:lang w:val="en-US"/>
        </w:rPr>
        <w:t>The DoH Emergency Response Plan</w:t>
      </w:r>
    </w:p>
    <w:p w14:paraId="09C78436" w14:textId="77777777" w:rsidR="00CD1632" w:rsidRPr="00D86495" w:rsidRDefault="00CD1632" w:rsidP="00CD1632">
      <w:pPr>
        <w:pStyle w:val="ListParagraph"/>
        <w:spacing w:line="276" w:lineRule="auto"/>
        <w:jc w:val="both"/>
        <w:rPr>
          <w:rFonts w:ascii="Arial" w:hAnsi="Arial" w:cs="Arial"/>
          <w:sz w:val="22"/>
          <w:szCs w:val="22"/>
          <w:lang w:val="en-US"/>
        </w:rPr>
      </w:pPr>
    </w:p>
    <w:p w14:paraId="4627B5CD"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D</w:t>
      </w:r>
      <w:r>
        <w:rPr>
          <w:rFonts w:ascii="Arial" w:hAnsi="Arial" w:cs="Arial"/>
          <w:sz w:val="22"/>
          <w:szCs w:val="22"/>
          <w:lang w:val="en-US"/>
        </w:rPr>
        <w:t>oH</w:t>
      </w:r>
      <w:r w:rsidRPr="00D86495">
        <w:rPr>
          <w:rFonts w:ascii="Arial" w:hAnsi="Arial" w:cs="Arial"/>
          <w:sz w:val="22"/>
          <w:szCs w:val="22"/>
          <w:lang w:val="en-US"/>
        </w:rPr>
        <w:t xml:space="preserve"> revised and publish</w:t>
      </w:r>
      <w:r>
        <w:rPr>
          <w:rFonts w:ascii="Arial" w:hAnsi="Arial" w:cs="Arial"/>
          <w:sz w:val="22"/>
          <w:szCs w:val="22"/>
          <w:lang w:val="en-US"/>
        </w:rPr>
        <w:t>ed</w:t>
      </w:r>
      <w:r w:rsidRPr="00D86495">
        <w:rPr>
          <w:rFonts w:ascii="Arial" w:hAnsi="Arial" w:cs="Arial"/>
          <w:sz w:val="22"/>
          <w:szCs w:val="22"/>
          <w:lang w:val="en-US"/>
        </w:rPr>
        <w:t xml:space="preserve"> a new Emergency Response Plan</w:t>
      </w:r>
      <w:r w:rsidRPr="00D86495">
        <w:rPr>
          <w:rStyle w:val="FootnoteReference"/>
          <w:rFonts w:ascii="Arial" w:hAnsi="Arial" w:cs="Arial"/>
          <w:sz w:val="22"/>
          <w:szCs w:val="22"/>
          <w:lang w:val="en-US"/>
        </w:rPr>
        <w:footnoteReference w:id="17"/>
      </w:r>
      <w:r w:rsidRPr="00D86495">
        <w:rPr>
          <w:rFonts w:ascii="Arial" w:hAnsi="Arial" w:cs="Arial"/>
          <w:sz w:val="22"/>
          <w:szCs w:val="22"/>
          <w:lang w:val="en-US"/>
        </w:rPr>
        <w:t xml:space="preserve"> (ERP)</w:t>
      </w:r>
      <w:r>
        <w:rPr>
          <w:rFonts w:ascii="Arial" w:hAnsi="Arial" w:cs="Arial"/>
          <w:sz w:val="22"/>
          <w:szCs w:val="22"/>
          <w:lang w:val="en-US"/>
        </w:rPr>
        <w:t xml:space="preserve"> in January 2019,</w:t>
      </w:r>
      <w:r w:rsidRPr="00D86495">
        <w:rPr>
          <w:rFonts w:ascii="Arial" w:hAnsi="Arial" w:cs="Arial"/>
          <w:sz w:val="22"/>
          <w:szCs w:val="22"/>
          <w:lang w:val="en-US"/>
        </w:rPr>
        <w:t xml:space="preserve"> which incorporated the lessons learned from Exercise Cygnus (2016).  The revised ERP rescinded </w:t>
      </w:r>
      <w:r>
        <w:rPr>
          <w:rFonts w:ascii="Arial" w:hAnsi="Arial" w:cs="Arial"/>
          <w:sz w:val="22"/>
          <w:szCs w:val="22"/>
          <w:lang w:val="en-US"/>
        </w:rPr>
        <w:t>DoH’s</w:t>
      </w:r>
      <w:r w:rsidRPr="00D86495">
        <w:rPr>
          <w:rFonts w:ascii="Arial" w:hAnsi="Arial" w:cs="Arial"/>
          <w:sz w:val="22"/>
          <w:szCs w:val="22"/>
          <w:lang w:val="en-US"/>
        </w:rPr>
        <w:t xml:space="preserve"> “Role of the DHSSPS as a Lead Government Department - AUG 12 Document”</w:t>
      </w:r>
      <w:r>
        <w:rPr>
          <w:rStyle w:val="FootnoteReference"/>
          <w:rFonts w:ascii="Arial" w:hAnsi="Arial" w:cs="Arial"/>
          <w:sz w:val="22"/>
          <w:szCs w:val="22"/>
          <w:lang w:val="en-US"/>
        </w:rPr>
        <w:footnoteReference w:id="18"/>
      </w:r>
      <w:r w:rsidRPr="00D86495">
        <w:rPr>
          <w:rFonts w:ascii="Arial" w:hAnsi="Arial" w:cs="Arial"/>
          <w:sz w:val="22"/>
          <w:szCs w:val="22"/>
          <w:lang w:val="en-US"/>
        </w:rPr>
        <w:t xml:space="preserve"> as it set out the ERP and the LGD role in a single document.  The ERP set out how </w:t>
      </w:r>
      <w:r>
        <w:rPr>
          <w:rFonts w:ascii="Arial" w:hAnsi="Arial" w:cs="Arial"/>
          <w:sz w:val="22"/>
          <w:szCs w:val="22"/>
          <w:lang w:val="en-US"/>
        </w:rPr>
        <w:t>DoH</w:t>
      </w:r>
      <w:r w:rsidRPr="00D86495">
        <w:rPr>
          <w:rFonts w:ascii="Arial" w:hAnsi="Arial" w:cs="Arial"/>
          <w:sz w:val="22"/>
          <w:szCs w:val="22"/>
          <w:lang w:val="en-US"/>
        </w:rPr>
        <w:t xml:space="preserve"> would effectively </w:t>
      </w:r>
      <w:r w:rsidRPr="00CE3F7B">
        <w:rPr>
          <w:rFonts w:ascii="Arial" w:hAnsi="Arial" w:cs="Arial"/>
          <w:sz w:val="22"/>
          <w:szCs w:val="22"/>
          <w:lang w:val="en-US"/>
        </w:rPr>
        <w:t xml:space="preserve">carry out </w:t>
      </w:r>
      <w:r w:rsidRPr="00D86495">
        <w:rPr>
          <w:rFonts w:ascii="Arial" w:hAnsi="Arial" w:cs="Arial"/>
          <w:sz w:val="22"/>
          <w:szCs w:val="22"/>
          <w:lang w:val="en-US"/>
        </w:rPr>
        <w:t xml:space="preserve">the responsibilities and functions associated with its role as </w:t>
      </w:r>
      <w:r>
        <w:rPr>
          <w:rFonts w:ascii="Arial" w:hAnsi="Arial" w:cs="Arial"/>
          <w:sz w:val="22"/>
          <w:szCs w:val="22"/>
          <w:lang w:val="en-US"/>
        </w:rPr>
        <w:t>LGD</w:t>
      </w:r>
      <w:r w:rsidRPr="00D86495">
        <w:rPr>
          <w:rFonts w:ascii="Arial" w:hAnsi="Arial" w:cs="Arial"/>
          <w:sz w:val="22"/>
          <w:szCs w:val="22"/>
          <w:lang w:val="en-US"/>
        </w:rPr>
        <w:t xml:space="preserve">. It described the key processes and disciplines necessary in planning for and responding to a </w:t>
      </w:r>
      <w:proofErr w:type="gramStart"/>
      <w:r w:rsidRPr="00D86495">
        <w:rPr>
          <w:rFonts w:ascii="Arial" w:hAnsi="Arial" w:cs="Arial"/>
          <w:sz w:val="22"/>
          <w:szCs w:val="22"/>
          <w:lang w:val="en-US"/>
        </w:rPr>
        <w:t>crises</w:t>
      </w:r>
      <w:proofErr w:type="gramEnd"/>
      <w:r w:rsidRPr="00D86495">
        <w:rPr>
          <w:rFonts w:ascii="Arial" w:hAnsi="Arial" w:cs="Arial"/>
          <w:sz w:val="22"/>
          <w:szCs w:val="22"/>
          <w:lang w:val="en-US"/>
        </w:rPr>
        <w:t xml:space="preserve"> for which D</w:t>
      </w:r>
      <w:r>
        <w:rPr>
          <w:rFonts w:ascii="Arial" w:hAnsi="Arial" w:cs="Arial"/>
          <w:sz w:val="22"/>
          <w:szCs w:val="22"/>
          <w:lang w:val="en-US"/>
        </w:rPr>
        <w:t>o</w:t>
      </w:r>
      <w:r w:rsidRPr="00D86495">
        <w:rPr>
          <w:rFonts w:ascii="Arial" w:hAnsi="Arial" w:cs="Arial"/>
          <w:sz w:val="22"/>
          <w:szCs w:val="22"/>
          <w:lang w:val="en-US"/>
        </w:rPr>
        <w:t>H was either the nominated lead</w:t>
      </w:r>
      <w:r>
        <w:rPr>
          <w:rFonts w:ascii="Arial" w:hAnsi="Arial" w:cs="Arial"/>
          <w:sz w:val="22"/>
          <w:szCs w:val="22"/>
          <w:lang w:val="en-US"/>
        </w:rPr>
        <w:t>,</w:t>
      </w:r>
      <w:r w:rsidRPr="00D86495">
        <w:rPr>
          <w:rFonts w:ascii="Arial" w:hAnsi="Arial" w:cs="Arial"/>
          <w:sz w:val="22"/>
          <w:szCs w:val="22"/>
          <w:lang w:val="en-US"/>
        </w:rPr>
        <w:t xml:space="preserve"> or had key responsibilities to act during the progress of the crisis. The ERP is based on the principle that preparation, response and recovery will enable an effective joint response to and recovery from any emergency. It explains how DoH will deploy and operate an effective and resilient response for any emergency in respect of which it has been designated the LGD</w:t>
      </w:r>
      <w:r>
        <w:rPr>
          <w:rFonts w:ascii="Arial" w:hAnsi="Arial" w:cs="Arial"/>
          <w:sz w:val="22"/>
          <w:szCs w:val="22"/>
          <w:lang w:val="en-US"/>
        </w:rPr>
        <w:t>,</w:t>
      </w:r>
      <w:r w:rsidRPr="00D86495">
        <w:rPr>
          <w:rFonts w:ascii="Arial" w:hAnsi="Arial" w:cs="Arial"/>
          <w:sz w:val="22"/>
          <w:szCs w:val="22"/>
          <w:lang w:val="en-US"/>
        </w:rPr>
        <w:t xml:space="preserve"> as well as providing strategic health and social care policy advice or direction in support of others where another department is designated LGD.</w:t>
      </w:r>
    </w:p>
    <w:p w14:paraId="7C765D6C" w14:textId="77777777" w:rsidR="00CD1632" w:rsidRPr="00D86495" w:rsidRDefault="00CD1632" w:rsidP="00CD1632">
      <w:pPr>
        <w:pStyle w:val="ListParagraph"/>
        <w:spacing w:line="276" w:lineRule="auto"/>
        <w:jc w:val="both"/>
        <w:rPr>
          <w:rFonts w:ascii="Arial" w:hAnsi="Arial" w:cs="Arial"/>
          <w:sz w:val="22"/>
          <w:szCs w:val="22"/>
          <w:lang w:val="en-US"/>
        </w:rPr>
      </w:pPr>
    </w:p>
    <w:p w14:paraId="63EB0446"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DoH’s role and authority as a LGD is specifically </w:t>
      </w:r>
      <w:r>
        <w:rPr>
          <w:rFonts w:ascii="Arial" w:hAnsi="Arial" w:cs="Arial"/>
          <w:sz w:val="22"/>
          <w:szCs w:val="22"/>
          <w:lang w:val="en-US"/>
        </w:rPr>
        <w:t>in</w:t>
      </w:r>
      <w:r w:rsidRPr="00D86495">
        <w:rPr>
          <w:rFonts w:ascii="Arial" w:hAnsi="Arial" w:cs="Arial"/>
          <w:sz w:val="22"/>
          <w:szCs w:val="22"/>
          <w:lang w:val="en-US"/>
        </w:rPr>
        <w:t xml:space="preserve"> the ERP 2019 (internal pages 8 –10) which provides that:</w:t>
      </w:r>
    </w:p>
    <w:p w14:paraId="4A0FDE00" w14:textId="77777777" w:rsidR="00CD1632" w:rsidRPr="00D86495" w:rsidRDefault="00CD1632" w:rsidP="00CD1632">
      <w:pPr>
        <w:spacing w:line="276" w:lineRule="auto"/>
        <w:ind w:left="1080"/>
        <w:jc w:val="both"/>
        <w:rPr>
          <w:rFonts w:ascii="Arial" w:hAnsi="Arial" w:cs="Arial"/>
          <w:i/>
          <w:iCs/>
          <w:sz w:val="22"/>
          <w:szCs w:val="22"/>
          <w:lang w:val="en-US"/>
        </w:rPr>
      </w:pPr>
      <w:r w:rsidRPr="00D86495">
        <w:rPr>
          <w:rFonts w:ascii="Arial" w:hAnsi="Arial" w:cs="Arial"/>
          <w:sz w:val="22"/>
          <w:szCs w:val="22"/>
          <w:lang w:val="en-US"/>
        </w:rPr>
        <w:t>“</w:t>
      </w:r>
      <w:r w:rsidRPr="00D86495">
        <w:rPr>
          <w:rFonts w:ascii="Arial" w:hAnsi="Arial" w:cs="Arial"/>
          <w:i/>
          <w:iCs/>
          <w:sz w:val="22"/>
          <w:szCs w:val="22"/>
          <w:lang w:val="en-US"/>
        </w:rPr>
        <w:t>1.4</w:t>
      </w:r>
      <w:r w:rsidRPr="00EE3B27">
        <w:rPr>
          <w:rFonts w:ascii="Arial" w:hAnsi="Arial" w:cs="Arial"/>
          <w:i/>
          <w:iCs/>
          <w:sz w:val="22"/>
          <w:szCs w:val="22"/>
          <w:lang w:val="en-US"/>
        </w:rPr>
        <w:t xml:space="preserve"> …</w:t>
      </w:r>
      <w:r w:rsidRPr="00D86495">
        <w:rPr>
          <w:rFonts w:ascii="Arial" w:hAnsi="Arial" w:cs="Arial"/>
          <w:i/>
          <w:iCs/>
          <w:sz w:val="22"/>
          <w:szCs w:val="22"/>
          <w:lang w:val="en-US"/>
        </w:rPr>
        <w:t xml:space="preserve"> In order to ensure a seamless service to the public during an emergency, </w:t>
      </w:r>
      <w:proofErr w:type="gramStart"/>
      <w:r w:rsidRPr="00D86495">
        <w:rPr>
          <w:rFonts w:ascii="Arial" w:hAnsi="Arial" w:cs="Arial"/>
          <w:i/>
          <w:iCs/>
          <w:sz w:val="22"/>
          <w:szCs w:val="22"/>
          <w:lang w:val="en-US"/>
        </w:rPr>
        <w:t>DoH</w:t>
      </w:r>
      <w:proofErr w:type="gramEnd"/>
      <w:r w:rsidRPr="00D86495">
        <w:rPr>
          <w:rFonts w:ascii="Arial" w:hAnsi="Arial" w:cs="Arial"/>
          <w:i/>
          <w:iCs/>
          <w:sz w:val="22"/>
          <w:szCs w:val="22"/>
          <w:lang w:val="en-US"/>
        </w:rPr>
        <w:t xml:space="preserve"> may if appropriate, activate its Health Gold Command and will also be  required to collaborate with key members of other partner and stakeholder organisations. </w:t>
      </w:r>
    </w:p>
    <w:p w14:paraId="5DC48768" w14:textId="77777777" w:rsidR="00CD1632" w:rsidRPr="00D86495" w:rsidRDefault="00CD1632" w:rsidP="00CD1632">
      <w:pPr>
        <w:spacing w:line="276" w:lineRule="auto"/>
        <w:ind w:left="1080"/>
        <w:jc w:val="both"/>
        <w:rPr>
          <w:rFonts w:ascii="Arial" w:hAnsi="Arial" w:cs="Arial"/>
          <w:i/>
          <w:iCs/>
          <w:sz w:val="22"/>
          <w:szCs w:val="22"/>
          <w:lang w:val="en-US"/>
        </w:rPr>
      </w:pPr>
      <w:r w:rsidRPr="00D86495">
        <w:rPr>
          <w:rFonts w:ascii="Arial" w:hAnsi="Arial" w:cs="Arial"/>
          <w:i/>
          <w:iCs/>
          <w:sz w:val="22"/>
          <w:szCs w:val="22"/>
          <w:lang w:val="en-US"/>
        </w:rPr>
        <w:t>1.8 …The ERP sets out how the Department will … deploy and operate an effective and resilient response for any emergency that it has been designated LGD; and provide strategic health and social care policy advice or direction in support of the efforts of others, where another Department or its Arm’s Length Body (ALB) is in the lead.</w:t>
      </w:r>
    </w:p>
    <w:p w14:paraId="578B7FB7" w14:textId="77777777" w:rsidR="00CD1632" w:rsidRPr="00D86495" w:rsidRDefault="00CD1632" w:rsidP="00CD1632">
      <w:pPr>
        <w:spacing w:line="276" w:lineRule="auto"/>
        <w:ind w:left="1080"/>
        <w:jc w:val="both"/>
        <w:rPr>
          <w:rFonts w:ascii="Arial" w:hAnsi="Arial" w:cs="Arial"/>
          <w:i/>
          <w:iCs/>
          <w:sz w:val="22"/>
          <w:szCs w:val="22"/>
          <w:lang w:val="en-US"/>
        </w:rPr>
      </w:pPr>
      <w:r w:rsidRPr="00D86495">
        <w:rPr>
          <w:rFonts w:ascii="Arial" w:hAnsi="Arial" w:cs="Arial"/>
          <w:i/>
          <w:iCs/>
          <w:sz w:val="22"/>
          <w:szCs w:val="22"/>
          <w:lang w:val="en-US"/>
        </w:rPr>
        <w:t>1.9  The Department will deploy and operate an effective and resilient response and recovery for any emergency for which it is designated the LGD arising from an emergency in the following scenarios:</w:t>
      </w:r>
    </w:p>
    <w:p w14:paraId="1DAF6EA4" w14:textId="77777777" w:rsidR="00CD1632" w:rsidRPr="00D86495" w:rsidRDefault="00CD1632" w:rsidP="00CD1632">
      <w:pPr>
        <w:spacing w:line="276" w:lineRule="auto"/>
        <w:ind w:left="2410" w:hanging="283"/>
        <w:jc w:val="both"/>
        <w:rPr>
          <w:rFonts w:ascii="Arial" w:hAnsi="Arial" w:cs="Arial"/>
          <w:i/>
          <w:iCs/>
          <w:sz w:val="22"/>
          <w:szCs w:val="22"/>
          <w:lang w:val="en-US"/>
        </w:rPr>
      </w:pPr>
      <w:r w:rsidRPr="00D86495">
        <w:rPr>
          <w:rFonts w:ascii="Arial" w:hAnsi="Arial" w:cs="Arial"/>
          <w:i/>
          <w:iCs/>
          <w:sz w:val="22"/>
          <w:szCs w:val="22"/>
          <w:lang w:val="en-US"/>
        </w:rPr>
        <w:t>• CBRN (chemical, biological, radiological and nuclear (CBRN) incidents); Do</w:t>
      </w:r>
      <w:r>
        <w:rPr>
          <w:rFonts w:ascii="Arial" w:hAnsi="Arial" w:cs="Arial"/>
          <w:i/>
          <w:iCs/>
          <w:sz w:val="22"/>
          <w:szCs w:val="22"/>
          <w:lang w:val="en-US"/>
        </w:rPr>
        <w:t xml:space="preserve">H </w:t>
      </w:r>
      <w:r w:rsidRPr="00D86495">
        <w:rPr>
          <w:rFonts w:ascii="Arial" w:hAnsi="Arial" w:cs="Arial"/>
          <w:i/>
          <w:iCs/>
          <w:sz w:val="22"/>
          <w:szCs w:val="22"/>
          <w:lang w:val="en-US"/>
        </w:rPr>
        <w:t>responsibility covers disease control or mass casualty handling. Such incidents may also include explosive devices (</w:t>
      </w:r>
      <w:proofErr w:type="spellStart"/>
      <w:r w:rsidRPr="00D86495">
        <w:rPr>
          <w:rFonts w:ascii="Arial" w:hAnsi="Arial" w:cs="Arial"/>
          <w:i/>
          <w:iCs/>
          <w:sz w:val="22"/>
          <w:szCs w:val="22"/>
          <w:lang w:val="en-US"/>
        </w:rPr>
        <w:t>CBRNe</w:t>
      </w:r>
      <w:proofErr w:type="spellEnd"/>
      <w:r w:rsidRPr="00D86495">
        <w:rPr>
          <w:rFonts w:ascii="Arial" w:hAnsi="Arial" w:cs="Arial"/>
          <w:i/>
          <w:iCs/>
          <w:sz w:val="22"/>
          <w:szCs w:val="22"/>
          <w:lang w:val="en-US"/>
        </w:rPr>
        <w:t>));</w:t>
      </w:r>
    </w:p>
    <w:p w14:paraId="6E345747" w14:textId="77777777" w:rsidR="00CD1632" w:rsidRPr="00D86495" w:rsidRDefault="00CD1632" w:rsidP="00CD1632">
      <w:pPr>
        <w:spacing w:line="276" w:lineRule="auto"/>
        <w:ind w:left="1800" w:firstLine="360"/>
        <w:jc w:val="both"/>
        <w:rPr>
          <w:rFonts w:ascii="Arial" w:hAnsi="Arial" w:cs="Arial"/>
          <w:i/>
          <w:iCs/>
          <w:sz w:val="22"/>
          <w:szCs w:val="22"/>
          <w:lang w:val="en-US"/>
        </w:rPr>
      </w:pPr>
      <w:r w:rsidRPr="00D86495">
        <w:rPr>
          <w:rFonts w:ascii="Arial" w:hAnsi="Arial" w:cs="Arial"/>
          <w:i/>
          <w:iCs/>
          <w:sz w:val="22"/>
          <w:szCs w:val="22"/>
          <w:lang w:val="en-US"/>
        </w:rPr>
        <w:t>• disruption of medical supply chains;</w:t>
      </w:r>
    </w:p>
    <w:p w14:paraId="6905267E" w14:textId="77777777" w:rsidR="00CD1632" w:rsidRPr="00D86495" w:rsidRDefault="00CD1632" w:rsidP="00CD1632">
      <w:pPr>
        <w:spacing w:line="276" w:lineRule="auto"/>
        <w:ind w:left="2268" w:hanging="141"/>
        <w:jc w:val="both"/>
        <w:rPr>
          <w:rFonts w:ascii="Arial" w:hAnsi="Arial" w:cs="Arial"/>
          <w:i/>
          <w:iCs/>
          <w:sz w:val="22"/>
          <w:szCs w:val="22"/>
          <w:lang w:val="en-US"/>
        </w:rPr>
      </w:pPr>
      <w:r w:rsidRPr="00D86495">
        <w:rPr>
          <w:rFonts w:ascii="Arial" w:hAnsi="Arial" w:cs="Arial"/>
          <w:i/>
          <w:iCs/>
          <w:sz w:val="22"/>
          <w:szCs w:val="22"/>
          <w:lang w:val="en-US"/>
        </w:rPr>
        <w:t>• human infectious diseases (including pandemic influenza, avian influenza and smallpox); and</w:t>
      </w:r>
    </w:p>
    <w:p w14:paraId="05A2989A" w14:textId="77777777" w:rsidR="00CD1632" w:rsidRPr="00D86495" w:rsidRDefault="00CD1632" w:rsidP="00CD1632">
      <w:pPr>
        <w:spacing w:line="276" w:lineRule="auto"/>
        <w:ind w:left="2268" w:hanging="141"/>
        <w:jc w:val="both"/>
        <w:rPr>
          <w:rFonts w:ascii="Arial" w:hAnsi="Arial" w:cs="Arial"/>
          <w:i/>
          <w:iCs/>
          <w:sz w:val="22"/>
          <w:szCs w:val="22"/>
          <w:lang w:val="en-US"/>
        </w:rPr>
      </w:pPr>
      <w:r w:rsidRPr="00D86495">
        <w:rPr>
          <w:rFonts w:ascii="Arial" w:hAnsi="Arial" w:cs="Arial"/>
          <w:i/>
          <w:iCs/>
          <w:sz w:val="22"/>
          <w:szCs w:val="22"/>
          <w:lang w:val="en-US"/>
        </w:rPr>
        <w:t>• mass casualties (e.g. Marauding Terrorist incident, with or without Firearms).</w:t>
      </w:r>
    </w:p>
    <w:p w14:paraId="49C503D7" w14:textId="77777777" w:rsidR="00CD1632" w:rsidRPr="00D86495" w:rsidRDefault="00CD1632" w:rsidP="00CD1632">
      <w:pPr>
        <w:spacing w:line="276" w:lineRule="auto"/>
        <w:ind w:left="1800" w:hanging="807"/>
        <w:jc w:val="both"/>
        <w:rPr>
          <w:rFonts w:ascii="Arial" w:hAnsi="Arial" w:cs="Arial"/>
          <w:sz w:val="22"/>
          <w:szCs w:val="22"/>
          <w:lang w:val="en-US"/>
        </w:rPr>
      </w:pPr>
      <w:r w:rsidRPr="00D86495">
        <w:rPr>
          <w:rFonts w:ascii="Arial" w:hAnsi="Arial" w:cs="Arial"/>
          <w:i/>
          <w:iCs/>
          <w:sz w:val="22"/>
          <w:szCs w:val="22"/>
          <w:lang w:val="en-US"/>
        </w:rPr>
        <w:t xml:space="preserve">1.10 </w:t>
      </w:r>
      <w:r w:rsidRPr="00D86495">
        <w:rPr>
          <w:rFonts w:ascii="Arial" w:hAnsi="Arial" w:cs="Arial"/>
          <w:i/>
          <w:iCs/>
          <w:sz w:val="22"/>
          <w:szCs w:val="22"/>
          <w:lang w:val="en-US"/>
        </w:rPr>
        <w:tab/>
        <w:t>The Department will move into action immediately an emergency arises in the areas for which it has policy responsibility and will provide strategic health and social care advice and support other LGDs where it can assist the emergency response</w:t>
      </w:r>
      <w:r w:rsidRPr="00D86495">
        <w:rPr>
          <w:rFonts w:ascii="Arial" w:hAnsi="Arial" w:cs="Arial"/>
          <w:sz w:val="22"/>
          <w:szCs w:val="22"/>
          <w:lang w:val="en-US"/>
        </w:rPr>
        <w:t>.</w:t>
      </w:r>
      <w:r>
        <w:rPr>
          <w:rFonts w:ascii="Arial" w:hAnsi="Arial" w:cs="Arial"/>
          <w:sz w:val="22"/>
          <w:szCs w:val="22"/>
          <w:lang w:val="en-US"/>
        </w:rPr>
        <w:t>”</w:t>
      </w:r>
    </w:p>
    <w:p w14:paraId="26313C47" w14:textId="77777777" w:rsidR="00CD1632" w:rsidRPr="00D86495" w:rsidRDefault="00CD1632" w:rsidP="00CD1632">
      <w:pPr>
        <w:pStyle w:val="ListParagraph"/>
        <w:spacing w:line="276" w:lineRule="auto"/>
        <w:jc w:val="both"/>
        <w:rPr>
          <w:rFonts w:ascii="Arial" w:hAnsi="Arial" w:cs="Arial"/>
          <w:sz w:val="22"/>
          <w:szCs w:val="22"/>
          <w:lang w:val="en-US"/>
        </w:rPr>
      </w:pPr>
    </w:p>
    <w:p w14:paraId="49E23C38"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Strategic Cell is the strategic decision-making group during the emergency. This group is usually chaired by the CMO and consists of key policy leads from across </w:t>
      </w:r>
      <w:r>
        <w:rPr>
          <w:rFonts w:ascii="Arial" w:hAnsi="Arial" w:cs="Arial"/>
          <w:sz w:val="22"/>
          <w:szCs w:val="22"/>
          <w:lang w:val="en-US"/>
        </w:rPr>
        <w:t xml:space="preserve">DoH </w:t>
      </w:r>
      <w:r w:rsidRPr="00D86495">
        <w:rPr>
          <w:rFonts w:ascii="Arial" w:hAnsi="Arial" w:cs="Arial"/>
          <w:sz w:val="22"/>
          <w:szCs w:val="22"/>
          <w:lang w:val="en-US"/>
        </w:rPr>
        <w:t>and representation from HSC Silver. The Strategic Cell provides the ultimate source of strategic health, social care and public safety advice and direction</w:t>
      </w:r>
      <w:r w:rsidRPr="00D86495" w:rsidDel="003115D3">
        <w:rPr>
          <w:rFonts w:ascii="Arial" w:hAnsi="Arial" w:cs="Arial"/>
          <w:sz w:val="22"/>
          <w:szCs w:val="22"/>
          <w:lang w:val="en-US"/>
        </w:rPr>
        <w:t xml:space="preserve"> </w:t>
      </w:r>
      <w:r w:rsidRPr="00D86495">
        <w:rPr>
          <w:rFonts w:ascii="Arial" w:hAnsi="Arial" w:cs="Arial"/>
          <w:sz w:val="22"/>
          <w:szCs w:val="22"/>
          <w:lang w:val="en-US"/>
        </w:rPr>
        <w:t>(</w:t>
      </w:r>
      <w:r>
        <w:rPr>
          <w:rFonts w:ascii="Arial" w:hAnsi="Arial" w:cs="Arial"/>
          <w:sz w:val="22"/>
          <w:szCs w:val="22"/>
          <w:lang w:val="en-US"/>
        </w:rPr>
        <w:t xml:space="preserve">ERP </w:t>
      </w:r>
      <w:r w:rsidRPr="00D86495">
        <w:rPr>
          <w:rFonts w:ascii="Arial" w:hAnsi="Arial" w:cs="Arial"/>
          <w:sz w:val="22"/>
          <w:szCs w:val="22"/>
          <w:lang w:val="en-US"/>
        </w:rPr>
        <w:t xml:space="preserve">internal page 29). </w:t>
      </w:r>
    </w:p>
    <w:p w14:paraId="072D14AD" w14:textId="77777777" w:rsidR="00CD1632" w:rsidRPr="00D86495" w:rsidRDefault="00CD1632" w:rsidP="00CD1632">
      <w:pPr>
        <w:pStyle w:val="ListParagraph"/>
        <w:spacing w:line="276" w:lineRule="auto"/>
        <w:jc w:val="both"/>
        <w:rPr>
          <w:rFonts w:ascii="Arial" w:hAnsi="Arial" w:cs="Arial"/>
          <w:sz w:val="22"/>
          <w:szCs w:val="22"/>
          <w:lang w:val="en-US"/>
        </w:rPr>
      </w:pPr>
    </w:p>
    <w:p w14:paraId="677EECA3"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w:t>
      </w:r>
      <w:r>
        <w:rPr>
          <w:rFonts w:ascii="Arial" w:hAnsi="Arial" w:cs="Arial"/>
          <w:sz w:val="22"/>
          <w:szCs w:val="22"/>
          <w:lang w:val="en-US"/>
        </w:rPr>
        <w:t>ERP</w:t>
      </w:r>
      <w:r w:rsidRPr="00D86495">
        <w:rPr>
          <w:rFonts w:ascii="Arial" w:hAnsi="Arial" w:cs="Arial"/>
          <w:sz w:val="22"/>
          <w:szCs w:val="22"/>
          <w:lang w:val="en-US"/>
        </w:rPr>
        <w:t xml:space="preserve"> is consistent with the Northern Ireland civil contingencies framework in that an emergency is concerned with the consequences rather than the cause, and is defined as:</w:t>
      </w:r>
    </w:p>
    <w:p w14:paraId="0B492779" w14:textId="77777777" w:rsidR="00CD1632" w:rsidRPr="00D86495" w:rsidRDefault="00CD1632" w:rsidP="00CD1632">
      <w:pPr>
        <w:pStyle w:val="ListParagraph"/>
        <w:spacing w:line="276" w:lineRule="auto"/>
        <w:jc w:val="both"/>
        <w:rPr>
          <w:rFonts w:ascii="Arial" w:hAnsi="Arial" w:cs="Arial"/>
          <w:sz w:val="22"/>
          <w:szCs w:val="22"/>
          <w:lang w:val="en-US"/>
        </w:rPr>
      </w:pPr>
    </w:p>
    <w:p w14:paraId="107C02E9" w14:textId="77777777" w:rsidR="00CD1632" w:rsidRPr="00D86495" w:rsidRDefault="00CD1632" w:rsidP="00CD1632">
      <w:pPr>
        <w:pStyle w:val="ListParagraph"/>
        <w:spacing w:line="276" w:lineRule="auto"/>
        <w:ind w:left="1440"/>
        <w:jc w:val="both"/>
        <w:rPr>
          <w:rFonts w:ascii="Arial" w:hAnsi="Arial" w:cs="Arial"/>
          <w:i/>
          <w:iCs/>
          <w:sz w:val="22"/>
          <w:szCs w:val="22"/>
          <w:lang w:val="en-US"/>
        </w:rPr>
      </w:pPr>
      <w:r w:rsidRPr="00D86495">
        <w:rPr>
          <w:rFonts w:ascii="Arial" w:hAnsi="Arial" w:cs="Arial"/>
          <w:i/>
          <w:iCs/>
          <w:sz w:val="22"/>
          <w:szCs w:val="22"/>
          <w:lang w:val="en-US"/>
        </w:rPr>
        <w:t>“</w:t>
      </w:r>
      <w:proofErr w:type="gramStart"/>
      <w:r w:rsidRPr="00D86495">
        <w:rPr>
          <w:rFonts w:ascii="Arial" w:hAnsi="Arial" w:cs="Arial"/>
          <w:i/>
          <w:iCs/>
          <w:sz w:val="22"/>
          <w:szCs w:val="22"/>
          <w:lang w:val="en-US"/>
        </w:rPr>
        <w:t>an</w:t>
      </w:r>
      <w:proofErr w:type="gramEnd"/>
      <w:r w:rsidRPr="00D86495">
        <w:rPr>
          <w:rFonts w:ascii="Arial" w:hAnsi="Arial" w:cs="Arial"/>
          <w:i/>
          <w:iCs/>
          <w:sz w:val="22"/>
          <w:szCs w:val="22"/>
          <w:lang w:val="en-US"/>
        </w:rPr>
        <w:t xml:space="preserve"> event or situation which threatens serious damage to human welfare in a place in the UK, the environment of a place in the UK, or war or terrorism which threatens serious damage to the security of the UK”.</w:t>
      </w:r>
    </w:p>
    <w:p w14:paraId="00884FBC" w14:textId="77777777" w:rsidR="00CD1632" w:rsidRPr="00D86495" w:rsidRDefault="00CD1632" w:rsidP="00CD1632">
      <w:pPr>
        <w:rPr>
          <w:color w:val="000000" w:themeColor="text1"/>
          <w:lang w:val="en-US"/>
        </w:rPr>
      </w:pPr>
    </w:p>
    <w:p w14:paraId="08677D6C" w14:textId="77777777" w:rsidR="00CD1632" w:rsidRPr="00D86495" w:rsidRDefault="00CD1632" w:rsidP="00CD1632">
      <w:pPr>
        <w:pStyle w:val="ListParagraph"/>
        <w:numPr>
          <w:ilvl w:val="0"/>
          <w:numId w:val="7"/>
        </w:numPr>
        <w:spacing w:line="276" w:lineRule="auto"/>
        <w:jc w:val="both"/>
        <w:rPr>
          <w:rFonts w:ascii="Arial" w:hAnsi="Arial" w:cs="Arial"/>
          <w:color w:val="000000" w:themeColor="text1"/>
          <w:sz w:val="22"/>
          <w:szCs w:val="22"/>
          <w:lang w:val="en-US"/>
        </w:rPr>
      </w:pPr>
      <w:r w:rsidRPr="00D86495">
        <w:rPr>
          <w:rFonts w:ascii="Arial" w:hAnsi="Arial" w:cs="Arial"/>
          <w:color w:val="000000" w:themeColor="text1"/>
          <w:sz w:val="22"/>
          <w:szCs w:val="22"/>
          <w:lang w:val="en-US"/>
        </w:rPr>
        <w:t>It is to be recalled that, under the NICCMA protocol, in a level 2</w:t>
      </w:r>
      <w:r>
        <w:rPr>
          <w:rFonts w:ascii="Arial" w:hAnsi="Arial" w:cs="Arial"/>
          <w:color w:val="000000" w:themeColor="text1"/>
          <w:sz w:val="22"/>
          <w:szCs w:val="22"/>
          <w:lang w:val="en-US"/>
        </w:rPr>
        <w:t xml:space="preserve"> or 3</w:t>
      </w:r>
      <w:r w:rsidRPr="00D86495">
        <w:rPr>
          <w:rFonts w:ascii="Arial" w:hAnsi="Arial" w:cs="Arial"/>
          <w:color w:val="000000" w:themeColor="text1"/>
          <w:sz w:val="22"/>
          <w:szCs w:val="22"/>
          <w:lang w:val="en-US"/>
        </w:rPr>
        <w:t xml:space="preserve"> emergency (or a likely level 2</w:t>
      </w:r>
      <w:r>
        <w:rPr>
          <w:rFonts w:ascii="Arial" w:hAnsi="Arial" w:cs="Arial"/>
          <w:color w:val="000000" w:themeColor="text1"/>
          <w:sz w:val="22"/>
          <w:szCs w:val="22"/>
          <w:lang w:val="en-US"/>
        </w:rPr>
        <w:t xml:space="preserve"> or 3</w:t>
      </w:r>
      <w:r w:rsidRPr="00D86495">
        <w:rPr>
          <w:rFonts w:ascii="Arial" w:hAnsi="Arial" w:cs="Arial"/>
          <w:color w:val="000000" w:themeColor="text1"/>
          <w:sz w:val="22"/>
          <w:szCs w:val="22"/>
          <w:lang w:val="en-US"/>
        </w:rPr>
        <w:t xml:space="preserve">) emergency, the central coordination should </w:t>
      </w:r>
      <w:r>
        <w:rPr>
          <w:rFonts w:ascii="Arial" w:hAnsi="Arial" w:cs="Arial"/>
          <w:color w:val="000000" w:themeColor="text1"/>
          <w:sz w:val="22"/>
          <w:szCs w:val="22"/>
          <w:lang w:val="en-US"/>
        </w:rPr>
        <w:t>be</w:t>
      </w:r>
      <w:r w:rsidRPr="00D86495">
        <w:rPr>
          <w:rFonts w:ascii="Arial" w:hAnsi="Arial" w:cs="Arial"/>
          <w:color w:val="000000" w:themeColor="text1"/>
          <w:sz w:val="22"/>
          <w:szCs w:val="22"/>
          <w:lang w:val="en-US"/>
        </w:rPr>
        <w:t xml:space="preserve"> under the aegis of CCG(NI), which </w:t>
      </w:r>
      <w:proofErr w:type="spellStart"/>
      <w:r w:rsidRPr="00D86495">
        <w:rPr>
          <w:rFonts w:ascii="Arial" w:hAnsi="Arial" w:cs="Arial"/>
          <w:color w:val="000000" w:themeColor="text1"/>
          <w:sz w:val="22"/>
          <w:szCs w:val="22"/>
          <w:lang w:val="en-US"/>
        </w:rPr>
        <w:t>FMdFM</w:t>
      </w:r>
      <w:proofErr w:type="spellEnd"/>
      <w:r w:rsidRPr="00D86495">
        <w:rPr>
          <w:rFonts w:ascii="Arial" w:hAnsi="Arial" w:cs="Arial"/>
          <w:color w:val="000000" w:themeColor="text1"/>
          <w:sz w:val="22"/>
          <w:szCs w:val="22"/>
          <w:lang w:val="en-US"/>
        </w:rPr>
        <w:t xml:space="preserve"> or HOCS should normally chair.  It should have been clear to all that </w:t>
      </w:r>
      <w:r>
        <w:rPr>
          <w:rFonts w:ascii="Arial" w:hAnsi="Arial" w:cs="Arial"/>
          <w:color w:val="000000" w:themeColor="text1"/>
          <w:sz w:val="22"/>
          <w:szCs w:val="22"/>
          <w:lang w:val="en-US"/>
        </w:rPr>
        <w:t>Covid-19</w:t>
      </w:r>
      <w:r w:rsidRPr="00D86495">
        <w:rPr>
          <w:rFonts w:ascii="Arial" w:hAnsi="Arial" w:cs="Arial"/>
          <w:color w:val="000000" w:themeColor="text1"/>
          <w:sz w:val="22"/>
          <w:szCs w:val="22"/>
          <w:lang w:val="en-US"/>
        </w:rPr>
        <w:t xml:space="preserve"> was “too big for </w:t>
      </w:r>
      <w:r>
        <w:rPr>
          <w:rFonts w:ascii="Arial" w:hAnsi="Arial" w:cs="Arial"/>
          <w:color w:val="000000" w:themeColor="text1"/>
          <w:sz w:val="22"/>
          <w:szCs w:val="22"/>
          <w:lang w:val="en-US"/>
        </w:rPr>
        <w:t>H</w:t>
      </w:r>
      <w:r w:rsidRPr="00D86495">
        <w:rPr>
          <w:rFonts w:ascii="Arial" w:hAnsi="Arial" w:cs="Arial"/>
          <w:color w:val="000000" w:themeColor="text1"/>
          <w:sz w:val="22"/>
          <w:szCs w:val="22"/>
          <w:lang w:val="en-US"/>
        </w:rPr>
        <w:t>ealth alone” and that coordination across government was required. By 2 March 2020 the Prime Minister was chairing COBR, supported by the Cabinet Office Secretariat.</w:t>
      </w:r>
      <w:r>
        <w:rPr>
          <w:rFonts w:ascii="Arial" w:hAnsi="Arial" w:cs="Arial"/>
          <w:color w:val="000000" w:themeColor="text1"/>
          <w:sz w:val="22"/>
          <w:szCs w:val="22"/>
          <w:lang w:val="en-US"/>
        </w:rPr>
        <w:t xml:space="preserve">  The</w:t>
      </w:r>
      <w:r w:rsidRPr="00D86495">
        <w:rPr>
          <w:rFonts w:ascii="Arial" w:hAnsi="Arial" w:cs="Arial"/>
          <w:color w:val="000000" w:themeColor="text1"/>
          <w:sz w:val="22"/>
          <w:szCs w:val="22"/>
          <w:lang w:val="en-US"/>
        </w:rPr>
        <w:t xml:space="preserve"> meeting of CCG(NI)</w:t>
      </w:r>
      <w:r>
        <w:rPr>
          <w:rFonts w:ascii="Arial" w:hAnsi="Arial" w:cs="Arial"/>
          <w:color w:val="000000" w:themeColor="text1"/>
          <w:sz w:val="22"/>
          <w:szCs w:val="22"/>
          <w:lang w:val="en-US"/>
        </w:rPr>
        <w:t>,</w:t>
      </w:r>
      <w:r w:rsidRPr="00D86495">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organised by TEO and which took place </w:t>
      </w:r>
      <w:r w:rsidRPr="00D86495">
        <w:rPr>
          <w:rFonts w:ascii="Arial" w:hAnsi="Arial" w:cs="Arial"/>
          <w:color w:val="000000" w:themeColor="text1"/>
          <w:sz w:val="22"/>
          <w:szCs w:val="22"/>
          <w:lang w:val="en-US"/>
        </w:rPr>
        <w:t xml:space="preserve">on 20 February 2020, </w:t>
      </w:r>
      <w:r>
        <w:rPr>
          <w:rFonts w:ascii="Arial" w:hAnsi="Arial" w:cs="Arial"/>
          <w:color w:val="000000" w:themeColor="text1"/>
          <w:sz w:val="22"/>
          <w:szCs w:val="22"/>
          <w:lang w:val="en-US"/>
        </w:rPr>
        <w:t>is evidence that</w:t>
      </w:r>
      <w:r w:rsidRPr="00D86495">
        <w:rPr>
          <w:rFonts w:ascii="Arial" w:hAnsi="Arial" w:cs="Arial"/>
          <w:color w:val="000000" w:themeColor="text1"/>
          <w:sz w:val="22"/>
          <w:szCs w:val="22"/>
          <w:lang w:val="en-US"/>
        </w:rPr>
        <w:t xml:space="preserve"> the NI</w:t>
      </w:r>
      <w:r>
        <w:rPr>
          <w:rFonts w:ascii="Arial" w:hAnsi="Arial" w:cs="Arial"/>
          <w:color w:val="000000" w:themeColor="text1"/>
          <w:sz w:val="22"/>
          <w:szCs w:val="22"/>
          <w:lang w:val="en-US"/>
        </w:rPr>
        <w:t xml:space="preserve"> Executive</w:t>
      </w:r>
      <w:r w:rsidRPr="00D86495">
        <w:rPr>
          <w:rFonts w:ascii="Arial" w:hAnsi="Arial" w:cs="Arial"/>
          <w:color w:val="000000" w:themeColor="text1"/>
          <w:sz w:val="22"/>
          <w:szCs w:val="22"/>
          <w:lang w:val="en-US"/>
        </w:rPr>
        <w:t xml:space="preserve"> was acting cross-departmentally from no later than that point under the civil </w:t>
      </w:r>
      <w:proofErr w:type="gramStart"/>
      <w:r w:rsidRPr="00D86495">
        <w:rPr>
          <w:rFonts w:ascii="Arial" w:hAnsi="Arial" w:cs="Arial"/>
          <w:color w:val="000000" w:themeColor="text1"/>
          <w:sz w:val="22"/>
          <w:szCs w:val="22"/>
          <w:lang w:val="en-US"/>
        </w:rPr>
        <w:t>contingencies</w:t>
      </w:r>
      <w:proofErr w:type="gramEnd"/>
      <w:r w:rsidRPr="00D86495">
        <w:rPr>
          <w:rFonts w:ascii="Arial" w:hAnsi="Arial" w:cs="Arial"/>
          <w:color w:val="000000" w:themeColor="text1"/>
          <w:sz w:val="22"/>
          <w:szCs w:val="22"/>
          <w:lang w:val="en-US"/>
        </w:rPr>
        <w:t xml:space="preserve"> framework. </w:t>
      </w:r>
    </w:p>
    <w:p w14:paraId="05434C77" w14:textId="77777777" w:rsidR="00CD1632" w:rsidRPr="00D86495" w:rsidRDefault="00CD1632" w:rsidP="00CD1632">
      <w:pPr>
        <w:pStyle w:val="ListParagraph"/>
        <w:spacing w:line="276" w:lineRule="auto"/>
        <w:jc w:val="both"/>
        <w:rPr>
          <w:rFonts w:ascii="Arial" w:hAnsi="Arial" w:cs="Arial"/>
          <w:color w:val="000000" w:themeColor="text1"/>
          <w:sz w:val="22"/>
          <w:szCs w:val="22"/>
          <w:lang w:val="en-US"/>
        </w:rPr>
      </w:pPr>
    </w:p>
    <w:p w14:paraId="01D92100" w14:textId="77777777" w:rsidR="00CD1632" w:rsidRPr="00D86495" w:rsidRDefault="00CD1632" w:rsidP="00CD1632">
      <w:pPr>
        <w:pStyle w:val="ListParagraph"/>
        <w:numPr>
          <w:ilvl w:val="0"/>
          <w:numId w:val="7"/>
        </w:numPr>
        <w:spacing w:line="276" w:lineRule="auto"/>
        <w:jc w:val="both"/>
        <w:rPr>
          <w:rFonts w:ascii="Arial" w:hAnsi="Arial" w:cs="Arial"/>
          <w:color w:val="000000" w:themeColor="text1"/>
          <w:sz w:val="22"/>
          <w:szCs w:val="22"/>
          <w:lang w:val="en-US"/>
        </w:rPr>
      </w:pPr>
      <w:r w:rsidRPr="00D86495">
        <w:rPr>
          <w:rFonts w:ascii="Arial" w:hAnsi="Arial" w:cs="Arial"/>
          <w:color w:val="000000" w:themeColor="text1"/>
          <w:sz w:val="22"/>
          <w:szCs w:val="22"/>
          <w:lang w:val="en-US"/>
        </w:rPr>
        <w:t xml:space="preserve">This point has been extensively addressed throughout the Inquiry’s oral hearings and </w:t>
      </w:r>
      <w:proofErr w:type="gramStart"/>
      <w:r>
        <w:rPr>
          <w:rFonts w:ascii="Arial" w:hAnsi="Arial" w:cs="Arial"/>
          <w:color w:val="000000" w:themeColor="text1"/>
          <w:sz w:val="22"/>
          <w:szCs w:val="22"/>
          <w:lang w:val="en-US"/>
        </w:rPr>
        <w:t>DoH</w:t>
      </w:r>
      <w:proofErr w:type="gramEnd"/>
      <w:r w:rsidRPr="00D86495">
        <w:rPr>
          <w:rFonts w:ascii="Arial" w:hAnsi="Arial" w:cs="Arial"/>
          <w:color w:val="000000" w:themeColor="text1"/>
          <w:sz w:val="22"/>
          <w:szCs w:val="22"/>
          <w:lang w:val="en-US"/>
        </w:rPr>
        <w:t xml:space="preserve"> remains concerned that the correct understanding of its role to “lead on the health consequences” may have been conflated with a more general responsibility to “lead on the pandemic”.</w:t>
      </w:r>
      <w:r w:rsidRPr="00D4019C">
        <w:t xml:space="preserve"> </w:t>
      </w:r>
      <w:r w:rsidRPr="00D4019C">
        <w:rPr>
          <w:rFonts w:ascii="Arial" w:hAnsi="Arial" w:cs="Arial"/>
          <w:color w:val="000000" w:themeColor="text1"/>
          <w:sz w:val="22"/>
          <w:szCs w:val="22"/>
          <w:lang w:val="en-US"/>
        </w:rPr>
        <w:t xml:space="preserve">To </w:t>
      </w:r>
      <w:r>
        <w:rPr>
          <w:rFonts w:ascii="Arial" w:hAnsi="Arial" w:cs="Arial"/>
          <w:color w:val="000000" w:themeColor="text1"/>
          <w:sz w:val="22"/>
          <w:szCs w:val="22"/>
          <w:lang w:val="en-US"/>
        </w:rPr>
        <w:t>reiterate</w:t>
      </w:r>
      <w:r w:rsidRPr="00D4019C">
        <w:rPr>
          <w:rFonts w:ascii="Arial" w:hAnsi="Arial" w:cs="Arial"/>
          <w:color w:val="000000" w:themeColor="text1"/>
          <w:sz w:val="22"/>
          <w:szCs w:val="22"/>
          <w:lang w:val="en-US"/>
        </w:rPr>
        <w:t xml:space="preserve">, as indicated </w:t>
      </w:r>
      <w:r>
        <w:rPr>
          <w:rFonts w:ascii="Arial" w:hAnsi="Arial" w:cs="Arial"/>
          <w:color w:val="000000" w:themeColor="text1"/>
          <w:sz w:val="22"/>
          <w:szCs w:val="22"/>
          <w:lang w:val="en-US"/>
        </w:rPr>
        <w:t>above</w:t>
      </w:r>
      <w:r w:rsidRPr="00D4019C">
        <w:rPr>
          <w:rFonts w:ascii="Arial" w:hAnsi="Arial" w:cs="Arial"/>
          <w:color w:val="000000" w:themeColor="text1"/>
          <w:sz w:val="22"/>
          <w:szCs w:val="22"/>
          <w:lang w:val="en-US"/>
        </w:rPr>
        <w:t>, given the constitutional position in N</w:t>
      </w:r>
      <w:r>
        <w:rPr>
          <w:rFonts w:ascii="Arial" w:hAnsi="Arial" w:cs="Arial"/>
          <w:color w:val="000000" w:themeColor="text1"/>
          <w:sz w:val="22"/>
          <w:szCs w:val="22"/>
          <w:lang w:val="en-US"/>
        </w:rPr>
        <w:t>orthern Ireland,</w:t>
      </w:r>
      <w:r w:rsidRPr="00D4019C">
        <w:rPr>
          <w:rFonts w:ascii="Arial" w:hAnsi="Arial" w:cs="Arial"/>
          <w:color w:val="000000" w:themeColor="text1"/>
          <w:sz w:val="22"/>
          <w:szCs w:val="22"/>
          <w:lang w:val="en-US"/>
        </w:rPr>
        <w:t xml:space="preserve"> it would not be lawful for DoH to seek to act in such a way</w:t>
      </w:r>
      <w:r>
        <w:rPr>
          <w:rFonts w:ascii="Arial" w:hAnsi="Arial" w:cs="Arial"/>
          <w:color w:val="000000" w:themeColor="text1"/>
          <w:sz w:val="22"/>
          <w:szCs w:val="22"/>
          <w:lang w:val="en-US"/>
        </w:rPr>
        <w:t>.</w:t>
      </w:r>
    </w:p>
    <w:p w14:paraId="01D3BBD5" w14:textId="77777777" w:rsidR="00CD1632" w:rsidRPr="00D86495" w:rsidRDefault="00CD1632" w:rsidP="00CD1632">
      <w:pPr>
        <w:pStyle w:val="ListParagraph"/>
        <w:spacing w:line="276" w:lineRule="auto"/>
        <w:jc w:val="both"/>
        <w:rPr>
          <w:rFonts w:ascii="Arial" w:hAnsi="Arial" w:cs="Arial"/>
          <w:sz w:val="22"/>
          <w:szCs w:val="22"/>
          <w:lang w:val="en-US"/>
        </w:rPr>
      </w:pPr>
    </w:p>
    <w:p w14:paraId="32D98667"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ERP confirms that </w:t>
      </w:r>
      <w:r>
        <w:rPr>
          <w:rFonts w:ascii="Arial" w:hAnsi="Arial" w:cs="Arial"/>
          <w:sz w:val="22"/>
          <w:szCs w:val="22"/>
          <w:lang w:val="en-US"/>
        </w:rPr>
        <w:t>DoH</w:t>
      </w:r>
      <w:r w:rsidRPr="00D86495">
        <w:rPr>
          <w:rFonts w:ascii="Arial" w:hAnsi="Arial" w:cs="Arial"/>
          <w:sz w:val="22"/>
          <w:szCs w:val="22"/>
          <w:lang w:val="en-US"/>
        </w:rPr>
        <w:t xml:space="preserve"> will “</w:t>
      </w:r>
      <w:r w:rsidRPr="00D86495">
        <w:rPr>
          <w:rFonts w:ascii="Arial" w:hAnsi="Arial" w:cs="Arial"/>
          <w:i/>
          <w:iCs/>
          <w:sz w:val="22"/>
          <w:szCs w:val="22"/>
          <w:lang w:val="en-US"/>
        </w:rPr>
        <w:t>lead the health response</w:t>
      </w:r>
      <w:r w:rsidRPr="00D86495">
        <w:rPr>
          <w:rFonts w:ascii="Arial" w:hAnsi="Arial" w:cs="Arial"/>
          <w:sz w:val="22"/>
          <w:szCs w:val="22"/>
          <w:lang w:val="en-US"/>
        </w:rPr>
        <w:t xml:space="preserve">”, which it is submitted, is significantly different in practical terms from leading a cross departmental response to the pandemic.  </w:t>
      </w:r>
      <w:r>
        <w:rPr>
          <w:rFonts w:ascii="Arial" w:hAnsi="Arial" w:cs="Arial"/>
          <w:sz w:val="22"/>
          <w:szCs w:val="22"/>
          <w:lang w:val="en-US"/>
        </w:rPr>
        <w:t>DoH</w:t>
      </w:r>
      <w:r w:rsidRPr="00D86495">
        <w:rPr>
          <w:rFonts w:ascii="Arial" w:hAnsi="Arial" w:cs="Arial"/>
          <w:sz w:val="22"/>
          <w:szCs w:val="22"/>
          <w:lang w:val="en-US"/>
        </w:rPr>
        <w:t xml:space="preserve"> accepts that its role is to provide health advice to those other departments in this context.  </w:t>
      </w:r>
      <w:r>
        <w:rPr>
          <w:rFonts w:ascii="Arial" w:hAnsi="Arial" w:cs="Arial"/>
          <w:sz w:val="22"/>
          <w:szCs w:val="22"/>
          <w:lang w:val="en-US"/>
        </w:rPr>
        <w:t>DoH</w:t>
      </w:r>
      <w:r w:rsidRPr="00D86495">
        <w:rPr>
          <w:rFonts w:ascii="Arial" w:hAnsi="Arial" w:cs="Arial"/>
          <w:sz w:val="22"/>
          <w:szCs w:val="22"/>
          <w:lang w:val="en-US"/>
        </w:rPr>
        <w:t xml:space="preserve"> contends that th</w:t>
      </w:r>
      <w:r>
        <w:rPr>
          <w:rFonts w:ascii="Arial" w:hAnsi="Arial" w:cs="Arial"/>
          <w:sz w:val="22"/>
          <w:szCs w:val="22"/>
          <w:lang w:val="en-US"/>
        </w:rPr>
        <w:t>e ERP</w:t>
      </w:r>
      <w:r w:rsidRPr="00D86495">
        <w:rPr>
          <w:rFonts w:ascii="Arial" w:hAnsi="Arial" w:cs="Arial"/>
          <w:sz w:val="22"/>
          <w:szCs w:val="22"/>
          <w:lang w:val="en-US"/>
        </w:rPr>
        <w:t xml:space="preserve"> document must be read in its entirety, but also refers the Inquiry to specific provisions which set out that</w:t>
      </w:r>
      <w:r>
        <w:rPr>
          <w:rFonts w:ascii="Arial" w:hAnsi="Arial" w:cs="Arial"/>
          <w:sz w:val="22"/>
          <w:szCs w:val="22"/>
          <w:lang w:val="en-US"/>
        </w:rPr>
        <w:t xml:space="preserve"> </w:t>
      </w:r>
      <w:proofErr w:type="gramStart"/>
      <w:r>
        <w:rPr>
          <w:rFonts w:ascii="Arial" w:hAnsi="Arial" w:cs="Arial"/>
          <w:sz w:val="22"/>
          <w:szCs w:val="22"/>
          <w:lang w:val="en-US"/>
        </w:rPr>
        <w:t>DoH</w:t>
      </w:r>
      <w:proofErr w:type="gramEnd"/>
      <w:r>
        <w:rPr>
          <w:rFonts w:ascii="Arial" w:hAnsi="Arial" w:cs="Arial"/>
          <w:sz w:val="22"/>
          <w:szCs w:val="22"/>
          <w:lang w:val="en-US"/>
        </w:rPr>
        <w:t xml:space="preserve"> </w:t>
      </w:r>
      <w:r w:rsidRPr="00D86495">
        <w:rPr>
          <w:rFonts w:ascii="Arial" w:hAnsi="Arial" w:cs="Arial"/>
          <w:sz w:val="22"/>
          <w:szCs w:val="22"/>
          <w:lang w:val="en-US"/>
        </w:rPr>
        <w:t xml:space="preserve">is the LGD in Northern Ireland for the human health consequences of: chemical, biological, radiological and nuclear (CBRN) incidents; disruption of medical supply chains; infectious diseases; and mass casualties (section 1.3, internal page 9). The relevance of these specific provisions is that DoH is clearly identified as the lead for the ‘human health consequences’ of the listed events, which include infectious diseases.  </w:t>
      </w:r>
    </w:p>
    <w:p w14:paraId="5E05F018" w14:textId="77777777" w:rsidR="00CD1632" w:rsidRPr="00D86495" w:rsidRDefault="00CD1632" w:rsidP="00CD1632">
      <w:pPr>
        <w:pStyle w:val="ListParagraph"/>
        <w:spacing w:line="276" w:lineRule="auto"/>
        <w:jc w:val="both"/>
        <w:rPr>
          <w:rFonts w:ascii="Arial" w:hAnsi="Arial" w:cs="Arial"/>
          <w:sz w:val="22"/>
          <w:szCs w:val="22"/>
          <w:lang w:val="en-US"/>
        </w:rPr>
      </w:pPr>
    </w:p>
    <w:p w14:paraId="24D8BEFF"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Also relevant to the question of LGD is the </w:t>
      </w:r>
      <w:r>
        <w:rPr>
          <w:rFonts w:ascii="Arial" w:hAnsi="Arial" w:cs="Arial"/>
          <w:sz w:val="22"/>
          <w:szCs w:val="22"/>
          <w:lang w:val="en-US"/>
        </w:rPr>
        <w:t xml:space="preserve">legally binding </w:t>
      </w:r>
      <w:r w:rsidRPr="00D86495">
        <w:rPr>
          <w:rFonts w:ascii="Arial" w:hAnsi="Arial" w:cs="Arial"/>
          <w:sz w:val="22"/>
          <w:szCs w:val="22"/>
          <w:lang w:val="en-US"/>
        </w:rPr>
        <w:t xml:space="preserve">Ministerial Code, which was introduced by the St Andrews Agreement 2006.  The Ministerial Code was in part, designed to limit departmental freedom, and to ensure more control at the </w:t>
      </w:r>
      <w:proofErr w:type="spellStart"/>
      <w:r w:rsidRPr="00D86495">
        <w:rPr>
          <w:rFonts w:ascii="Arial" w:hAnsi="Arial" w:cs="Arial"/>
          <w:sz w:val="22"/>
          <w:szCs w:val="22"/>
          <w:lang w:val="en-US"/>
        </w:rPr>
        <w:t>centre</w:t>
      </w:r>
      <w:proofErr w:type="spellEnd"/>
      <w:r w:rsidRPr="00D86495">
        <w:rPr>
          <w:rFonts w:ascii="Arial" w:hAnsi="Arial" w:cs="Arial"/>
          <w:sz w:val="22"/>
          <w:szCs w:val="22"/>
          <w:lang w:val="en-US"/>
        </w:rPr>
        <w:t xml:space="preserve"> of government.  In this context, a definition of LGD which may be suitable for central government in Westminster could be viewed as inapposite for the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D86495" w:rsidDel="0072164E">
        <w:rPr>
          <w:rFonts w:ascii="Arial" w:hAnsi="Arial" w:cs="Arial"/>
          <w:sz w:val="22"/>
          <w:szCs w:val="22"/>
          <w:lang w:val="en-US"/>
        </w:rPr>
        <w:t xml:space="preserve"> </w:t>
      </w:r>
      <w:r w:rsidRPr="00D86495">
        <w:rPr>
          <w:rFonts w:ascii="Arial" w:hAnsi="Arial" w:cs="Arial"/>
          <w:sz w:val="22"/>
          <w:szCs w:val="22"/>
          <w:lang w:val="en-US"/>
        </w:rPr>
        <w:t xml:space="preserve">system, wherein each department operates independently, with no concept of collective responsibility of government. </w:t>
      </w:r>
    </w:p>
    <w:p w14:paraId="2A23F895" w14:textId="77777777" w:rsidR="00CD1632" w:rsidRPr="00530492" w:rsidRDefault="00CD1632" w:rsidP="00CD1632">
      <w:pPr>
        <w:pStyle w:val="ListParagraph"/>
        <w:rPr>
          <w:rFonts w:ascii="Arial" w:hAnsi="Arial" w:cs="Arial"/>
          <w:sz w:val="22"/>
          <w:szCs w:val="22"/>
          <w:lang w:val="en-US"/>
        </w:rPr>
      </w:pPr>
    </w:p>
    <w:p w14:paraId="41042B98"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313629">
        <w:rPr>
          <w:rFonts w:ascii="Arial" w:hAnsi="Arial" w:cs="Arial"/>
          <w:sz w:val="22"/>
          <w:szCs w:val="22"/>
          <w:lang w:val="en-US"/>
        </w:rPr>
        <w:t>While the Cabinet Office produces a useful guide for LGDs, it is not fully applicable to Northen Ireland.  In terms of lessons learned, there is a clear need to further clarify LGD roles and responsibilities in</w:t>
      </w:r>
      <w:r w:rsidRPr="0072164E">
        <w:rPr>
          <w:rFonts w:ascii="Arial" w:hAnsi="Arial" w:cs="Arial"/>
          <w:color w:val="000000" w:themeColor="text1"/>
          <w:sz w:val="22"/>
          <w:szCs w:val="22"/>
          <w:lang w:val="en-US"/>
        </w:rPr>
        <w:t xml:space="preserve">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313629">
        <w:rPr>
          <w:rFonts w:ascii="Arial" w:hAnsi="Arial" w:cs="Arial"/>
          <w:sz w:val="22"/>
          <w:szCs w:val="22"/>
          <w:lang w:val="en-US"/>
        </w:rPr>
        <w:t>, to identify where responsibility and overarching strategic leadership sit at each level of the emergency response.  Consequently DoH will seek to engage with TEO, NICS and key partners to define and develop LGD roles and responsibilities</w:t>
      </w:r>
      <w:r>
        <w:rPr>
          <w:rFonts w:ascii="Arial" w:hAnsi="Arial" w:cs="Arial"/>
          <w:sz w:val="22"/>
          <w:szCs w:val="22"/>
          <w:lang w:val="en-US"/>
        </w:rPr>
        <w:t>,</w:t>
      </w:r>
      <w:r w:rsidRPr="00313629">
        <w:rPr>
          <w:rFonts w:ascii="Arial" w:hAnsi="Arial" w:cs="Arial"/>
          <w:sz w:val="22"/>
          <w:szCs w:val="22"/>
          <w:lang w:val="en-US"/>
        </w:rPr>
        <w:t xml:space="preserve"> to provide additional clarity on ownership and escalation measures</w:t>
      </w:r>
      <w:r>
        <w:rPr>
          <w:rFonts w:ascii="Arial" w:hAnsi="Arial" w:cs="Arial"/>
          <w:sz w:val="22"/>
          <w:szCs w:val="22"/>
          <w:lang w:val="en-US"/>
        </w:rPr>
        <w:t xml:space="preserve"> in order</w:t>
      </w:r>
      <w:r w:rsidRPr="00313629">
        <w:rPr>
          <w:rFonts w:ascii="Arial" w:hAnsi="Arial" w:cs="Arial"/>
          <w:sz w:val="22"/>
          <w:szCs w:val="22"/>
          <w:lang w:val="en-US"/>
        </w:rPr>
        <w:t xml:space="preserve"> to establish overarching strategic responsibility. This will ensure leadership and coordination roles are properly developed, understood, tested, validated and maintained to ensure clarity and fit for purpose.</w:t>
      </w:r>
    </w:p>
    <w:p w14:paraId="58093A4A" w14:textId="77777777" w:rsidR="00CD1632" w:rsidRPr="00D86495" w:rsidRDefault="00CD1632" w:rsidP="00CD1632">
      <w:pPr>
        <w:pStyle w:val="ListParagraph"/>
        <w:spacing w:line="276" w:lineRule="auto"/>
        <w:jc w:val="both"/>
        <w:rPr>
          <w:rFonts w:ascii="Arial" w:hAnsi="Arial" w:cs="Arial"/>
          <w:sz w:val="22"/>
          <w:szCs w:val="22"/>
          <w:lang w:val="en-US"/>
        </w:rPr>
      </w:pPr>
    </w:p>
    <w:p w14:paraId="750DFB14" w14:textId="77777777" w:rsidR="00CD1632" w:rsidRPr="00D86495" w:rsidRDefault="00CD1632" w:rsidP="00CD1632">
      <w:pPr>
        <w:pStyle w:val="ListParagraph"/>
        <w:spacing w:line="276" w:lineRule="auto"/>
        <w:jc w:val="both"/>
        <w:rPr>
          <w:rFonts w:ascii="Arial" w:hAnsi="Arial" w:cs="Arial"/>
          <w:b/>
          <w:bCs/>
          <w:sz w:val="22"/>
          <w:szCs w:val="22"/>
          <w:u w:val="single"/>
          <w:lang w:val="en-US"/>
        </w:rPr>
      </w:pPr>
      <w:r w:rsidRPr="00D86495">
        <w:rPr>
          <w:rFonts w:ascii="Arial" w:hAnsi="Arial" w:cs="Arial"/>
          <w:b/>
          <w:bCs/>
          <w:sz w:val="22"/>
          <w:szCs w:val="22"/>
          <w:u w:val="single"/>
          <w:lang w:val="en-US"/>
        </w:rPr>
        <w:t>NICCMA</w:t>
      </w:r>
    </w:p>
    <w:p w14:paraId="34661212" w14:textId="77777777" w:rsidR="00CD1632" w:rsidRPr="00D86495" w:rsidRDefault="00CD1632" w:rsidP="00CD1632">
      <w:pPr>
        <w:pStyle w:val="ListParagraph"/>
        <w:spacing w:line="276" w:lineRule="auto"/>
        <w:jc w:val="both"/>
        <w:rPr>
          <w:rFonts w:ascii="Arial" w:hAnsi="Arial" w:cs="Arial"/>
          <w:sz w:val="22"/>
          <w:szCs w:val="22"/>
          <w:lang w:val="en-US"/>
        </w:rPr>
      </w:pPr>
    </w:p>
    <w:p w14:paraId="4AD01448"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purpose of NICCMA is to provide strategic co-ordination of the response and/or recovery across the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D86495" w:rsidDel="0072164E">
        <w:rPr>
          <w:rFonts w:ascii="Arial" w:hAnsi="Arial" w:cs="Arial"/>
          <w:sz w:val="22"/>
          <w:szCs w:val="22"/>
          <w:lang w:val="en-US"/>
        </w:rPr>
        <w:t xml:space="preserve"> </w:t>
      </w:r>
      <w:r w:rsidRPr="00D86495">
        <w:rPr>
          <w:rFonts w:ascii="Arial" w:hAnsi="Arial" w:cs="Arial"/>
          <w:sz w:val="22"/>
          <w:szCs w:val="22"/>
          <w:lang w:val="en-US"/>
        </w:rPr>
        <w:t xml:space="preserve">departments and other responders, and to provide an interface at strategic level with other emergency co-ordination bodies in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D86495">
        <w:rPr>
          <w:rFonts w:ascii="Arial" w:hAnsi="Arial" w:cs="Arial"/>
          <w:sz w:val="22"/>
          <w:szCs w:val="22"/>
          <w:lang w:val="en-US"/>
        </w:rPr>
        <w:t xml:space="preserve">, GB and Ireland.  Activating NICCMA places a significant additional burden on </w:t>
      </w:r>
      <w:r>
        <w:rPr>
          <w:rFonts w:ascii="Arial" w:hAnsi="Arial" w:cs="Arial"/>
          <w:sz w:val="22"/>
          <w:szCs w:val="22"/>
          <w:lang w:val="en-US"/>
        </w:rPr>
        <w:t>d</w:t>
      </w:r>
      <w:r w:rsidRPr="00D86495">
        <w:rPr>
          <w:rFonts w:ascii="Arial" w:hAnsi="Arial" w:cs="Arial"/>
          <w:sz w:val="22"/>
          <w:szCs w:val="22"/>
          <w:lang w:val="en-US"/>
        </w:rPr>
        <w:t xml:space="preserve">epartments. In the case of </w:t>
      </w:r>
      <w:r>
        <w:rPr>
          <w:rFonts w:ascii="Arial" w:hAnsi="Arial" w:cs="Arial"/>
          <w:sz w:val="22"/>
          <w:szCs w:val="22"/>
          <w:lang w:val="en-US"/>
        </w:rPr>
        <w:t>DoH,</w:t>
      </w:r>
      <w:r w:rsidRPr="00D86495">
        <w:rPr>
          <w:rFonts w:ascii="Arial" w:hAnsi="Arial" w:cs="Arial"/>
          <w:sz w:val="22"/>
          <w:szCs w:val="22"/>
          <w:lang w:val="en-US"/>
        </w:rPr>
        <w:t xml:space="preserve"> standing up NICCMA initiates daily meetings of the Civil Contingencies Group (NI)</w:t>
      </w:r>
      <w:r>
        <w:rPr>
          <w:rFonts w:ascii="Arial" w:hAnsi="Arial" w:cs="Arial"/>
          <w:sz w:val="22"/>
          <w:szCs w:val="22"/>
          <w:lang w:val="en-US"/>
        </w:rPr>
        <w:t>,</w:t>
      </w:r>
      <w:r w:rsidRPr="00D86495">
        <w:rPr>
          <w:rFonts w:ascii="Arial" w:hAnsi="Arial" w:cs="Arial"/>
          <w:sz w:val="22"/>
          <w:szCs w:val="22"/>
          <w:lang w:val="en-US"/>
        </w:rPr>
        <w:t xml:space="preserve"> which the Permanent Secretary had to attend. Briefing had to be supplied for these meetings which placed additional strain on Emergency Planning Branch in drafting and coordinating inputs.  Additionally, the CMO would also have to engage in those meetings, which would also impose </w:t>
      </w:r>
      <w:r>
        <w:rPr>
          <w:rFonts w:ascii="Arial" w:hAnsi="Arial" w:cs="Arial"/>
          <w:sz w:val="22"/>
          <w:szCs w:val="22"/>
          <w:lang w:val="en-US"/>
        </w:rPr>
        <w:t>demands</w:t>
      </w:r>
      <w:r w:rsidRPr="00D86495">
        <w:rPr>
          <w:rFonts w:ascii="Arial" w:hAnsi="Arial" w:cs="Arial"/>
          <w:sz w:val="22"/>
          <w:szCs w:val="22"/>
          <w:lang w:val="en-US"/>
        </w:rPr>
        <w:t xml:space="preserve"> on an already overburdened role.  </w:t>
      </w:r>
      <w:r w:rsidRPr="00951DD6">
        <w:rPr>
          <w:rFonts w:ascii="Arial" w:hAnsi="Arial" w:cs="Arial"/>
          <w:sz w:val="22"/>
          <w:szCs w:val="22"/>
          <w:lang w:val="en-US"/>
        </w:rPr>
        <w:t xml:space="preserve">Similarly, additional meetings would have been required at all levels and this would have diverted people away from essential and extensive ongoing preparatory </w:t>
      </w:r>
      <w:r>
        <w:rPr>
          <w:rFonts w:ascii="Arial" w:hAnsi="Arial" w:cs="Arial"/>
          <w:sz w:val="22"/>
          <w:szCs w:val="22"/>
          <w:lang w:val="en-US"/>
        </w:rPr>
        <w:t xml:space="preserve">work </w:t>
      </w:r>
      <w:r w:rsidRPr="00951DD6">
        <w:rPr>
          <w:rFonts w:ascii="Arial" w:hAnsi="Arial" w:cs="Arial"/>
          <w:sz w:val="22"/>
          <w:szCs w:val="22"/>
          <w:lang w:val="en-US"/>
        </w:rPr>
        <w:t>already underway.</w:t>
      </w:r>
      <w:r w:rsidRPr="00D86495">
        <w:rPr>
          <w:rFonts w:ascii="Arial" w:hAnsi="Arial" w:cs="Arial"/>
          <w:sz w:val="22"/>
          <w:szCs w:val="22"/>
          <w:lang w:val="en-US"/>
        </w:rPr>
        <w:t xml:space="preserve">  </w:t>
      </w:r>
      <w:r>
        <w:rPr>
          <w:rFonts w:ascii="Arial" w:hAnsi="Arial" w:cs="Arial"/>
          <w:sz w:val="22"/>
          <w:szCs w:val="22"/>
          <w:lang w:val="en-US"/>
        </w:rPr>
        <w:t>Considering the practical consequences of activating NICCMA should not be interpreted as DoH being “too busy”.  Rather, as</w:t>
      </w:r>
      <w:r w:rsidRPr="0026726C">
        <w:rPr>
          <w:rFonts w:ascii="Arial" w:hAnsi="Arial" w:cs="Arial"/>
          <w:sz w:val="22"/>
          <w:szCs w:val="22"/>
          <w:lang w:val="en-US"/>
        </w:rPr>
        <w:t xml:space="preserve"> in any pressurized situation, </w:t>
      </w:r>
      <w:r>
        <w:rPr>
          <w:rFonts w:ascii="Arial" w:hAnsi="Arial" w:cs="Arial"/>
          <w:sz w:val="22"/>
          <w:szCs w:val="22"/>
          <w:lang w:val="en-US"/>
        </w:rPr>
        <w:t xml:space="preserve">a </w:t>
      </w:r>
      <w:r w:rsidRPr="0026726C">
        <w:rPr>
          <w:rFonts w:ascii="Arial" w:hAnsi="Arial" w:cs="Arial"/>
          <w:sz w:val="22"/>
          <w:szCs w:val="22"/>
          <w:lang w:val="en-US"/>
        </w:rPr>
        <w:t>hard</w:t>
      </w:r>
      <w:r>
        <w:rPr>
          <w:rFonts w:ascii="Arial" w:hAnsi="Arial" w:cs="Arial"/>
          <w:sz w:val="22"/>
          <w:szCs w:val="22"/>
          <w:lang w:val="en-US"/>
        </w:rPr>
        <w:t>-</w:t>
      </w:r>
      <w:r w:rsidRPr="0026726C">
        <w:rPr>
          <w:rFonts w:ascii="Arial" w:hAnsi="Arial" w:cs="Arial"/>
          <w:sz w:val="22"/>
          <w:szCs w:val="22"/>
          <w:lang w:val="en-US"/>
        </w:rPr>
        <w:t xml:space="preserve">nosed </w:t>
      </w:r>
      <w:proofErr w:type="spellStart"/>
      <w:r w:rsidRPr="0026726C">
        <w:rPr>
          <w:rFonts w:ascii="Arial" w:hAnsi="Arial" w:cs="Arial"/>
          <w:sz w:val="22"/>
          <w:szCs w:val="22"/>
          <w:lang w:val="en-US"/>
        </w:rPr>
        <w:t>prioritisation</w:t>
      </w:r>
      <w:proofErr w:type="spellEnd"/>
      <w:r w:rsidRPr="0026726C">
        <w:rPr>
          <w:rFonts w:ascii="Arial" w:hAnsi="Arial" w:cs="Arial"/>
          <w:sz w:val="22"/>
          <w:szCs w:val="22"/>
          <w:lang w:val="en-US"/>
        </w:rPr>
        <w:t xml:space="preserve"> of tasks is an absolute necessity. </w:t>
      </w:r>
      <w:r>
        <w:rPr>
          <w:rFonts w:ascii="Arial" w:hAnsi="Arial" w:cs="Arial"/>
          <w:sz w:val="22"/>
          <w:szCs w:val="22"/>
          <w:lang w:val="en-US"/>
        </w:rPr>
        <w:t>W</w:t>
      </w:r>
      <w:r w:rsidRPr="0026726C">
        <w:rPr>
          <w:rFonts w:ascii="Arial" w:hAnsi="Arial" w:cs="Arial"/>
          <w:sz w:val="22"/>
          <w:szCs w:val="22"/>
          <w:lang w:val="en-US"/>
        </w:rPr>
        <w:t xml:space="preserve">hile </w:t>
      </w:r>
      <w:r>
        <w:rPr>
          <w:rFonts w:ascii="Arial" w:hAnsi="Arial" w:cs="Arial"/>
          <w:sz w:val="22"/>
          <w:szCs w:val="22"/>
          <w:lang w:val="en-US"/>
        </w:rPr>
        <w:t xml:space="preserve">activating </w:t>
      </w:r>
      <w:r w:rsidRPr="0026726C">
        <w:rPr>
          <w:rFonts w:ascii="Arial" w:hAnsi="Arial" w:cs="Arial"/>
          <w:sz w:val="22"/>
          <w:szCs w:val="22"/>
          <w:lang w:val="en-US"/>
        </w:rPr>
        <w:t xml:space="preserve">NICCMA would </w:t>
      </w:r>
      <w:r>
        <w:rPr>
          <w:rFonts w:ascii="Arial" w:hAnsi="Arial" w:cs="Arial"/>
          <w:sz w:val="22"/>
          <w:szCs w:val="22"/>
          <w:lang w:val="en-US"/>
        </w:rPr>
        <w:t xml:space="preserve">at some stage </w:t>
      </w:r>
      <w:r w:rsidRPr="0026726C">
        <w:rPr>
          <w:rFonts w:ascii="Arial" w:hAnsi="Arial" w:cs="Arial"/>
          <w:sz w:val="22"/>
          <w:szCs w:val="22"/>
          <w:lang w:val="en-US"/>
        </w:rPr>
        <w:t xml:space="preserve">become essential, other work was more important at this very early stage.  It </w:t>
      </w:r>
      <w:r>
        <w:rPr>
          <w:rFonts w:ascii="Arial" w:hAnsi="Arial" w:cs="Arial"/>
          <w:sz w:val="22"/>
          <w:szCs w:val="22"/>
          <w:lang w:val="en-US"/>
        </w:rPr>
        <w:t>was</w:t>
      </w:r>
      <w:r w:rsidRPr="0026726C">
        <w:rPr>
          <w:rFonts w:ascii="Arial" w:hAnsi="Arial" w:cs="Arial"/>
          <w:sz w:val="22"/>
          <w:szCs w:val="22"/>
          <w:lang w:val="en-US"/>
        </w:rPr>
        <w:t xml:space="preserve"> a</w:t>
      </w:r>
      <w:r>
        <w:rPr>
          <w:rFonts w:ascii="Arial" w:hAnsi="Arial" w:cs="Arial"/>
          <w:sz w:val="22"/>
          <w:szCs w:val="22"/>
          <w:lang w:val="en-US"/>
        </w:rPr>
        <w:t xml:space="preserve"> finely balanced</w:t>
      </w:r>
      <w:r w:rsidRPr="0026726C">
        <w:rPr>
          <w:rFonts w:ascii="Arial" w:hAnsi="Arial" w:cs="Arial"/>
          <w:sz w:val="22"/>
          <w:szCs w:val="22"/>
          <w:lang w:val="en-US"/>
        </w:rPr>
        <w:t xml:space="preserve"> issue of timing</w:t>
      </w:r>
      <w:r>
        <w:rPr>
          <w:rFonts w:ascii="Arial" w:hAnsi="Arial" w:cs="Arial"/>
          <w:sz w:val="22"/>
          <w:szCs w:val="22"/>
          <w:lang w:val="en-US"/>
        </w:rPr>
        <w:t>.</w:t>
      </w:r>
    </w:p>
    <w:p w14:paraId="2BA6DC88" w14:textId="77777777" w:rsidR="00CD1632" w:rsidRPr="00D86495" w:rsidRDefault="00CD1632" w:rsidP="00CD1632">
      <w:pPr>
        <w:pStyle w:val="ListParagraph"/>
        <w:spacing w:line="276" w:lineRule="auto"/>
        <w:jc w:val="both"/>
        <w:rPr>
          <w:rFonts w:ascii="Arial" w:hAnsi="Arial" w:cs="Arial"/>
          <w:sz w:val="22"/>
          <w:szCs w:val="22"/>
          <w:lang w:val="en-US"/>
        </w:rPr>
      </w:pPr>
    </w:p>
    <w:p w14:paraId="3B672719"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NI Hub is set up to coordinate NICCMA operations. The NI Hub, in coordination with </w:t>
      </w:r>
      <w:r>
        <w:rPr>
          <w:rFonts w:ascii="Arial" w:hAnsi="Arial" w:cs="Arial"/>
          <w:sz w:val="22"/>
          <w:szCs w:val="22"/>
          <w:lang w:val="en-US"/>
        </w:rPr>
        <w:t xml:space="preserve">the </w:t>
      </w:r>
      <w:r w:rsidRPr="00D86495">
        <w:rPr>
          <w:rFonts w:ascii="Arial" w:hAnsi="Arial" w:cs="Arial"/>
          <w:sz w:val="22"/>
          <w:szCs w:val="22"/>
          <w:lang w:val="en-US"/>
        </w:rPr>
        <w:t xml:space="preserve">Cabinet Office establishes a </w:t>
      </w:r>
      <w:r>
        <w:rPr>
          <w:rFonts w:ascii="Arial" w:hAnsi="Arial" w:cs="Arial"/>
          <w:sz w:val="22"/>
          <w:szCs w:val="22"/>
          <w:lang w:val="en-US"/>
        </w:rPr>
        <w:t>‘</w:t>
      </w:r>
      <w:r w:rsidRPr="00D86495">
        <w:rPr>
          <w:rFonts w:ascii="Arial" w:hAnsi="Arial" w:cs="Arial"/>
          <w:sz w:val="22"/>
          <w:szCs w:val="22"/>
          <w:lang w:val="en-US"/>
        </w:rPr>
        <w:t>Reporting Rhythm</w:t>
      </w:r>
      <w:r>
        <w:rPr>
          <w:rFonts w:ascii="Arial" w:hAnsi="Arial" w:cs="Arial"/>
          <w:sz w:val="22"/>
          <w:szCs w:val="22"/>
          <w:lang w:val="en-US"/>
        </w:rPr>
        <w:t>’</w:t>
      </w:r>
      <w:r w:rsidRPr="00D86495">
        <w:rPr>
          <w:rFonts w:ascii="Arial" w:hAnsi="Arial" w:cs="Arial"/>
          <w:sz w:val="22"/>
          <w:szCs w:val="22"/>
          <w:lang w:val="en-US"/>
        </w:rPr>
        <w:t xml:space="preserve">, which requires a daily Situation Report </w:t>
      </w:r>
      <w:r>
        <w:rPr>
          <w:rFonts w:ascii="Arial" w:hAnsi="Arial" w:cs="Arial"/>
          <w:sz w:val="22"/>
          <w:szCs w:val="22"/>
          <w:lang w:val="en-US"/>
        </w:rPr>
        <w:t>(‘</w:t>
      </w:r>
      <w:proofErr w:type="spellStart"/>
      <w:r>
        <w:rPr>
          <w:rFonts w:ascii="Arial" w:hAnsi="Arial" w:cs="Arial"/>
          <w:sz w:val="22"/>
          <w:szCs w:val="22"/>
          <w:lang w:val="en-US"/>
        </w:rPr>
        <w:t>SitRep</w:t>
      </w:r>
      <w:proofErr w:type="spellEnd"/>
      <w:r>
        <w:rPr>
          <w:rFonts w:ascii="Arial" w:hAnsi="Arial" w:cs="Arial"/>
          <w:sz w:val="22"/>
          <w:szCs w:val="22"/>
          <w:lang w:val="en-US"/>
        </w:rPr>
        <w:t xml:space="preserve">’) </w:t>
      </w:r>
      <w:r w:rsidRPr="00D86495">
        <w:rPr>
          <w:rFonts w:ascii="Arial" w:hAnsi="Arial" w:cs="Arial"/>
          <w:sz w:val="22"/>
          <w:szCs w:val="22"/>
          <w:lang w:val="en-US"/>
        </w:rPr>
        <w:t xml:space="preserve">to be prepared. This places considerable pressure on the Situation Cell in the </w:t>
      </w:r>
      <w:r>
        <w:rPr>
          <w:rFonts w:ascii="Arial" w:hAnsi="Arial" w:cs="Arial"/>
          <w:sz w:val="22"/>
          <w:szCs w:val="22"/>
          <w:lang w:val="en-US"/>
        </w:rPr>
        <w:t>DoH Emergency Operations Centre (‘</w:t>
      </w:r>
      <w:r w:rsidRPr="00D86495">
        <w:rPr>
          <w:rFonts w:ascii="Arial" w:hAnsi="Arial" w:cs="Arial"/>
          <w:sz w:val="22"/>
          <w:szCs w:val="22"/>
          <w:lang w:val="en-US"/>
        </w:rPr>
        <w:t>EOC</w:t>
      </w:r>
      <w:r>
        <w:rPr>
          <w:rFonts w:ascii="Arial" w:hAnsi="Arial" w:cs="Arial"/>
          <w:sz w:val="22"/>
          <w:szCs w:val="22"/>
          <w:lang w:val="en-US"/>
        </w:rPr>
        <w:t>’)</w:t>
      </w:r>
      <w:r w:rsidRPr="00D86495">
        <w:rPr>
          <w:rFonts w:ascii="Arial" w:hAnsi="Arial" w:cs="Arial"/>
          <w:sz w:val="22"/>
          <w:szCs w:val="22"/>
          <w:lang w:val="en-US"/>
        </w:rPr>
        <w:t xml:space="preserve"> to coordinate the information for the </w:t>
      </w:r>
      <w:proofErr w:type="spellStart"/>
      <w:r w:rsidRPr="00D86495">
        <w:rPr>
          <w:rFonts w:ascii="Arial" w:hAnsi="Arial" w:cs="Arial"/>
          <w:sz w:val="22"/>
          <w:szCs w:val="22"/>
          <w:lang w:val="en-US"/>
        </w:rPr>
        <w:t>SitRep</w:t>
      </w:r>
      <w:proofErr w:type="spellEnd"/>
      <w:r w:rsidRPr="00D86495">
        <w:rPr>
          <w:rFonts w:ascii="Arial" w:hAnsi="Arial" w:cs="Arial"/>
          <w:sz w:val="22"/>
          <w:szCs w:val="22"/>
          <w:lang w:val="en-US"/>
        </w:rPr>
        <w:t xml:space="preserve">.  Provision of appropriate briefing required the expansion of the Situation Cell and Briefing Cells within the </w:t>
      </w:r>
      <w:r>
        <w:rPr>
          <w:rFonts w:ascii="Arial" w:hAnsi="Arial" w:cs="Arial"/>
          <w:sz w:val="22"/>
          <w:szCs w:val="22"/>
          <w:lang w:val="en-US"/>
        </w:rPr>
        <w:t xml:space="preserve">DoH </w:t>
      </w:r>
      <w:r w:rsidRPr="00D86495">
        <w:rPr>
          <w:rFonts w:ascii="Arial" w:hAnsi="Arial" w:cs="Arial"/>
          <w:sz w:val="22"/>
          <w:szCs w:val="22"/>
          <w:lang w:val="en-US"/>
        </w:rPr>
        <w:t>EOC.  Two NI Hub Liaison Officers were appointed from DoH to report directly from the Hub</w:t>
      </w:r>
      <w:r>
        <w:rPr>
          <w:rFonts w:ascii="Arial" w:hAnsi="Arial" w:cs="Arial"/>
          <w:sz w:val="22"/>
          <w:szCs w:val="22"/>
          <w:lang w:val="en-US"/>
        </w:rPr>
        <w:t>,</w:t>
      </w:r>
      <w:r w:rsidRPr="00D86495">
        <w:rPr>
          <w:rFonts w:ascii="Arial" w:hAnsi="Arial" w:cs="Arial"/>
          <w:sz w:val="22"/>
          <w:szCs w:val="22"/>
          <w:lang w:val="en-US"/>
        </w:rPr>
        <w:t xml:space="preserve"> and this is a</w:t>
      </w:r>
      <w:r>
        <w:rPr>
          <w:rFonts w:ascii="Arial" w:hAnsi="Arial" w:cs="Arial"/>
          <w:sz w:val="22"/>
          <w:szCs w:val="22"/>
          <w:lang w:val="en-US"/>
        </w:rPr>
        <w:t>nother</w:t>
      </w:r>
      <w:r w:rsidRPr="00D86495">
        <w:rPr>
          <w:rFonts w:ascii="Arial" w:hAnsi="Arial" w:cs="Arial"/>
          <w:sz w:val="22"/>
          <w:szCs w:val="22"/>
          <w:lang w:val="en-US"/>
        </w:rPr>
        <w:t xml:space="preserve"> concrete example of how the activation of NICCMA diverted scarce resources from the preparatory work to the response phase.  A total of 52 volunteer staff were involved in working in the </w:t>
      </w:r>
      <w:r>
        <w:rPr>
          <w:rFonts w:ascii="Arial" w:hAnsi="Arial" w:cs="Arial"/>
          <w:sz w:val="22"/>
          <w:szCs w:val="22"/>
          <w:lang w:val="en-US"/>
        </w:rPr>
        <w:t xml:space="preserve">DoH </w:t>
      </w:r>
      <w:r w:rsidRPr="00D86495">
        <w:rPr>
          <w:rFonts w:ascii="Arial" w:hAnsi="Arial" w:cs="Arial"/>
          <w:sz w:val="22"/>
          <w:szCs w:val="22"/>
          <w:lang w:val="en-US"/>
        </w:rPr>
        <w:t xml:space="preserve">EOC, which at the height of the first wave of the pandemic response operated for 12 hours per day (including out of hours cover), and 7 days per week during the initial surge. The </w:t>
      </w:r>
      <w:r>
        <w:rPr>
          <w:rFonts w:ascii="Arial" w:hAnsi="Arial" w:cs="Arial"/>
          <w:sz w:val="22"/>
          <w:szCs w:val="22"/>
          <w:lang w:val="en-US"/>
        </w:rPr>
        <w:t xml:space="preserve">DoH </w:t>
      </w:r>
      <w:r w:rsidRPr="00D86495">
        <w:rPr>
          <w:rFonts w:ascii="Arial" w:hAnsi="Arial" w:cs="Arial"/>
          <w:sz w:val="22"/>
          <w:szCs w:val="22"/>
          <w:lang w:val="en-US"/>
        </w:rPr>
        <w:t xml:space="preserve">EOC scaled down its hours as the response began to 'flatten the curve' until it was finally stood down on 11 August 2020.  However, it was not possible to run the </w:t>
      </w:r>
      <w:r>
        <w:rPr>
          <w:rFonts w:ascii="Arial" w:hAnsi="Arial" w:cs="Arial"/>
          <w:sz w:val="22"/>
          <w:szCs w:val="22"/>
          <w:lang w:val="en-US"/>
        </w:rPr>
        <w:t xml:space="preserve">DoH </w:t>
      </w:r>
      <w:r w:rsidRPr="00D86495">
        <w:rPr>
          <w:rFonts w:ascii="Arial" w:hAnsi="Arial" w:cs="Arial"/>
          <w:sz w:val="22"/>
          <w:szCs w:val="22"/>
          <w:lang w:val="en-US"/>
        </w:rPr>
        <w:t xml:space="preserve">EOC using just volunteers and HR Liaison was engaged to reassign staff from other business areas to maintain the ability of the </w:t>
      </w:r>
      <w:r>
        <w:rPr>
          <w:rFonts w:ascii="Arial" w:hAnsi="Arial" w:cs="Arial"/>
          <w:sz w:val="22"/>
          <w:szCs w:val="22"/>
          <w:lang w:val="en-US"/>
        </w:rPr>
        <w:t xml:space="preserve">DoH </w:t>
      </w:r>
      <w:r w:rsidRPr="00D86495">
        <w:rPr>
          <w:rFonts w:ascii="Arial" w:hAnsi="Arial" w:cs="Arial"/>
          <w:sz w:val="22"/>
          <w:szCs w:val="22"/>
          <w:lang w:val="en-US"/>
        </w:rPr>
        <w:t>EOC to operate.</w:t>
      </w:r>
    </w:p>
    <w:p w14:paraId="7F53ADD0" w14:textId="77777777" w:rsidR="00CD1632" w:rsidRPr="00D86495" w:rsidRDefault="00CD1632" w:rsidP="00CD1632">
      <w:pPr>
        <w:pStyle w:val="ListParagraph"/>
        <w:spacing w:line="276" w:lineRule="auto"/>
        <w:jc w:val="both"/>
        <w:rPr>
          <w:rFonts w:ascii="Arial" w:hAnsi="Arial" w:cs="Arial"/>
          <w:sz w:val="22"/>
          <w:szCs w:val="22"/>
          <w:u w:val="single"/>
          <w:lang w:val="en-US"/>
        </w:rPr>
      </w:pPr>
    </w:p>
    <w:p w14:paraId="48400C8F" w14:textId="133AC7B3" w:rsidR="00CD1632" w:rsidRPr="00A00D46" w:rsidRDefault="00CD1632" w:rsidP="00CD1632">
      <w:pPr>
        <w:pStyle w:val="ListParagraph"/>
        <w:spacing w:line="276" w:lineRule="auto"/>
        <w:jc w:val="both"/>
        <w:rPr>
          <w:rFonts w:ascii="Arial" w:hAnsi="Arial" w:cs="Arial"/>
          <w:b/>
          <w:bCs/>
          <w:sz w:val="22"/>
          <w:szCs w:val="22"/>
          <w:u w:val="single"/>
          <w:lang w:val="en-US"/>
        </w:rPr>
      </w:pPr>
      <w:r w:rsidRPr="00A00D46">
        <w:rPr>
          <w:rFonts w:ascii="Arial" w:hAnsi="Arial" w:cs="Arial"/>
          <w:b/>
          <w:bCs/>
          <w:sz w:val="22"/>
          <w:szCs w:val="22"/>
          <w:u w:val="single"/>
          <w:lang w:val="en-US"/>
        </w:rPr>
        <w:t xml:space="preserve">DoH’s Role in </w:t>
      </w:r>
      <w:r w:rsidR="001E3145">
        <w:rPr>
          <w:rFonts w:ascii="Arial" w:hAnsi="Arial" w:cs="Arial"/>
          <w:b/>
          <w:bCs/>
          <w:sz w:val="22"/>
          <w:szCs w:val="22"/>
          <w:u w:val="single"/>
          <w:lang w:val="en-US"/>
        </w:rPr>
        <w:t>‘Sounding the Alarm’</w:t>
      </w:r>
    </w:p>
    <w:p w14:paraId="5C2E9780" w14:textId="77777777" w:rsidR="00CD1632" w:rsidRPr="00D86495" w:rsidRDefault="00CD1632" w:rsidP="00CD1632">
      <w:pPr>
        <w:pStyle w:val="ListParagraph"/>
        <w:spacing w:line="276" w:lineRule="auto"/>
        <w:jc w:val="both"/>
        <w:rPr>
          <w:rFonts w:ascii="Arial" w:hAnsi="Arial" w:cs="Arial"/>
          <w:sz w:val="22"/>
          <w:szCs w:val="22"/>
          <w:lang w:val="en-US"/>
        </w:rPr>
      </w:pPr>
    </w:p>
    <w:p w14:paraId="0276E345"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DoH activated its ERP and ‘Gold Health’ on 27 January 2020, a calendar month ahead of a case of Covid-19 being identified in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D86495" w:rsidDel="0072164E">
        <w:rPr>
          <w:rFonts w:ascii="Arial" w:hAnsi="Arial" w:cs="Arial"/>
          <w:sz w:val="22"/>
          <w:szCs w:val="22"/>
          <w:lang w:val="en-US"/>
        </w:rPr>
        <w:t xml:space="preserve"> </w:t>
      </w:r>
      <w:r>
        <w:rPr>
          <w:rFonts w:ascii="Arial" w:hAnsi="Arial" w:cs="Arial"/>
          <w:sz w:val="22"/>
          <w:szCs w:val="22"/>
          <w:lang w:val="en-US"/>
        </w:rPr>
        <w:t xml:space="preserve">, and </w:t>
      </w:r>
      <w:r w:rsidRPr="00D86495">
        <w:rPr>
          <w:rFonts w:ascii="Arial" w:hAnsi="Arial" w:cs="Arial"/>
          <w:sz w:val="22"/>
          <w:szCs w:val="22"/>
          <w:lang w:val="en-US"/>
        </w:rPr>
        <w:t xml:space="preserve">three days ahead of the World Health </w:t>
      </w:r>
      <w:proofErr w:type="spellStart"/>
      <w:r w:rsidRPr="00D86495">
        <w:rPr>
          <w:rFonts w:ascii="Arial" w:hAnsi="Arial" w:cs="Arial"/>
          <w:sz w:val="22"/>
          <w:szCs w:val="22"/>
          <w:lang w:val="en-US"/>
        </w:rPr>
        <w:t>Organisation</w:t>
      </w:r>
      <w:proofErr w:type="spellEnd"/>
      <w:r w:rsidRPr="00D86495">
        <w:rPr>
          <w:rFonts w:ascii="Arial" w:hAnsi="Arial" w:cs="Arial"/>
          <w:sz w:val="22"/>
          <w:szCs w:val="22"/>
          <w:lang w:val="en-US"/>
        </w:rPr>
        <w:t xml:space="preserve"> on 31 January declaring the Covid-19 outbreak as being a Public Health Emergency of International Concern</w:t>
      </w:r>
      <w:r>
        <w:rPr>
          <w:rFonts w:ascii="Arial" w:hAnsi="Arial" w:cs="Arial"/>
          <w:sz w:val="22"/>
          <w:szCs w:val="22"/>
          <w:lang w:val="en-US"/>
        </w:rPr>
        <w:t xml:space="preserve">.  </w:t>
      </w:r>
      <w:r w:rsidRPr="00D86495">
        <w:rPr>
          <w:rFonts w:ascii="Arial" w:hAnsi="Arial" w:cs="Arial"/>
          <w:color w:val="000000"/>
          <w:sz w:val="22"/>
          <w:szCs w:val="22"/>
        </w:rPr>
        <w:t xml:space="preserve">HSC Silver (Tactical Command) Structures </w:t>
      </w:r>
      <w:r>
        <w:rPr>
          <w:rFonts w:ascii="Arial" w:hAnsi="Arial" w:cs="Arial"/>
          <w:color w:val="000000"/>
          <w:sz w:val="22"/>
          <w:szCs w:val="22"/>
        </w:rPr>
        <w:t>had been</w:t>
      </w:r>
      <w:r w:rsidRPr="00D86495">
        <w:rPr>
          <w:rFonts w:ascii="Arial" w:hAnsi="Arial" w:cs="Arial"/>
          <w:color w:val="000000"/>
          <w:sz w:val="22"/>
          <w:szCs w:val="22"/>
        </w:rPr>
        <w:t xml:space="preserve"> stood up on 22 January 2020. </w:t>
      </w:r>
    </w:p>
    <w:p w14:paraId="25F97269" w14:textId="77777777" w:rsidR="00CD1632" w:rsidRPr="00D86495" w:rsidRDefault="00CD1632" w:rsidP="00CD1632">
      <w:pPr>
        <w:pStyle w:val="ListParagraph"/>
        <w:spacing w:line="276" w:lineRule="auto"/>
        <w:jc w:val="both"/>
        <w:rPr>
          <w:rFonts w:ascii="Arial" w:hAnsi="Arial" w:cs="Arial"/>
          <w:sz w:val="22"/>
          <w:szCs w:val="22"/>
          <w:lang w:val="en-US"/>
        </w:rPr>
      </w:pPr>
    </w:p>
    <w:p w14:paraId="6DA6DD4B" w14:textId="76B4DC15"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 xml:space="preserve">From January 2020, </w:t>
      </w:r>
      <w:proofErr w:type="gramStart"/>
      <w:r w:rsidRPr="006F164F">
        <w:rPr>
          <w:rFonts w:ascii="Arial" w:hAnsi="Arial" w:cs="Arial"/>
          <w:sz w:val="22"/>
          <w:szCs w:val="22"/>
          <w:lang w:val="en-US"/>
        </w:rPr>
        <w:t>DoH</w:t>
      </w:r>
      <w:proofErr w:type="gramEnd"/>
      <w:r w:rsidRPr="006F164F">
        <w:rPr>
          <w:rFonts w:ascii="Arial" w:hAnsi="Arial" w:cs="Arial"/>
          <w:sz w:val="22"/>
          <w:szCs w:val="22"/>
          <w:lang w:val="en-US"/>
        </w:rPr>
        <w:t xml:space="preserve"> </w:t>
      </w:r>
      <w:r>
        <w:rPr>
          <w:rFonts w:ascii="Arial" w:hAnsi="Arial" w:cs="Arial"/>
          <w:sz w:val="22"/>
          <w:szCs w:val="22"/>
          <w:lang w:val="en-US"/>
        </w:rPr>
        <w:t xml:space="preserve">monitored </w:t>
      </w:r>
      <w:r w:rsidRPr="006F164F">
        <w:rPr>
          <w:rFonts w:ascii="Arial" w:hAnsi="Arial" w:cs="Arial"/>
          <w:sz w:val="22"/>
          <w:szCs w:val="22"/>
          <w:lang w:val="en-US"/>
        </w:rPr>
        <w:t xml:space="preserve">developments in the situation in Wuhan, as is expected of an LGD. On 27 January 2020, when it was clear that the situation was worsening and had the potential to impact the health of the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6F164F" w:rsidDel="0072164E">
        <w:rPr>
          <w:rFonts w:ascii="Arial" w:hAnsi="Arial" w:cs="Arial"/>
          <w:sz w:val="22"/>
          <w:szCs w:val="22"/>
          <w:lang w:val="en-US"/>
        </w:rPr>
        <w:t xml:space="preserve"> </w:t>
      </w:r>
      <w:r w:rsidRPr="006F164F">
        <w:rPr>
          <w:rFonts w:ascii="Arial" w:hAnsi="Arial" w:cs="Arial"/>
          <w:sz w:val="22"/>
          <w:szCs w:val="22"/>
          <w:lang w:val="en-US"/>
        </w:rPr>
        <w:t xml:space="preserve">population,  </w:t>
      </w:r>
      <w:proofErr w:type="gramStart"/>
      <w:r w:rsidRPr="006F164F">
        <w:rPr>
          <w:rFonts w:ascii="Arial" w:hAnsi="Arial" w:cs="Arial"/>
          <w:sz w:val="22"/>
          <w:szCs w:val="22"/>
          <w:lang w:val="en-US"/>
        </w:rPr>
        <w:t>DoH</w:t>
      </w:r>
      <w:proofErr w:type="gramEnd"/>
      <w:r w:rsidRPr="006F164F">
        <w:rPr>
          <w:rFonts w:ascii="Arial" w:hAnsi="Arial" w:cs="Arial"/>
          <w:sz w:val="22"/>
          <w:szCs w:val="22"/>
          <w:lang w:val="en-US"/>
        </w:rPr>
        <w:t xml:space="preserve"> activated its ERP and stood up </w:t>
      </w:r>
      <w:r>
        <w:rPr>
          <w:rFonts w:ascii="Arial" w:hAnsi="Arial" w:cs="Arial"/>
          <w:sz w:val="22"/>
          <w:szCs w:val="22"/>
          <w:lang w:val="en-US"/>
        </w:rPr>
        <w:t xml:space="preserve">the </w:t>
      </w:r>
      <w:r w:rsidRPr="006F164F">
        <w:rPr>
          <w:rFonts w:ascii="Arial" w:hAnsi="Arial" w:cs="Arial"/>
          <w:sz w:val="22"/>
          <w:szCs w:val="22"/>
          <w:lang w:val="en-US"/>
        </w:rPr>
        <w:t xml:space="preserve">EOC in order to keep the Health Minister and </w:t>
      </w:r>
      <w:r>
        <w:rPr>
          <w:rFonts w:ascii="Arial" w:hAnsi="Arial" w:cs="Arial"/>
          <w:sz w:val="22"/>
          <w:szCs w:val="22"/>
          <w:lang w:val="en-US"/>
        </w:rPr>
        <w:t>DoH</w:t>
      </w:r>
      <w:r w:rsidRPr="006F164F">
        <w:rPr>
          <w:rFonts w:ascii="Arial" w:hAnsi="Arial" w:cs="Arial"/>
          <w:sz w:val="22"/>
          <w:szCs w:val="22"/>
          <w:lang w:val="en-US"/>
        </w:rPr>
        <w:t xml:space="preserve"> A</w:t>
      </w:r>
      <w:r>
        <w:rPr>
          <w:rFonts w:ascii="Arial" w:hAnsi="Arial" w:cs="Arial"/>
          <w:sz w:val="22"/>
          <w:szCs w:val="22"/>
          <w:lang w:val="en-US"/>
        </w:rPr>
        <w:t>rm’s</w:t>
      </w:r>
      <w:r w:rsidRPr="006F164F">
        <w:rPr>
          <w:rFonts w:ascii="Arial" w:hAnsi="Arial" w:cs="Arial"/>
          <w:sz w:val="22"/>
          <w:szCs w:val="22"/>
          <w:lang w:val="en-US"/>
        </w:rPr>
        <w:t xml:space="preserve"> </w:t>
      </w:r>
      <w:r>
        <w:rPr>
          <w:rFonts w:ascii="Arial" w:hAnsi="Arial" w:cs="Arial"/>
          <w:sz w:val="22"/>
          <w:szCs w:val="22"/>
          <w:lang w:val="en-US"/>
        </w:rPr>
        <w:t xml:space="preserve">Length </w:t>
      </w:r>
      <w:r w:rsidRPr="006F164F">
        <w:rPr>
          <w:rFonts w:ascii="Arial" w:hAnsi="Arial" w:cs="Arial"/>
          <w:sz w:val="22"/>
          <w:szCs w:val="22"/>
          <w:lang w:val="en-US"/>
        </w:rPr>
        <w:t>B</w:t>
      </w:r>
      <w:r>
        <w:rPr>
          <w:rFonts w:ascii="Arial" w:hAnsi="Arial" w:cs="Arial"/>
          <w:sz w:val="22"/>
          <w:szCs w:val="22"/>
          <w:lang w:val="en-US"/>
        </w:rPr>
        <w:t>odie</w:t>
      </w:r>
      <w:r w:rsidRPr="006F164F">
        <w:rPr>
          <w:rFonts w:ascii="Arial" w:hAnsi="Arial" w:cs="Arial"/>
          <w:sz w:val="22"/>
          <w:szCs w:val="22"/>
          <w:lang w:val="en-US"/>
        </w:rPr>
        <w:t xml:space="preserve">s </w:t>
      </w:r>
      <w:r>
        <w:rPr>
          <w:rFonts w:ascii="Arial" w:hAnsi="Arial" w:cs="Arial"/>
          <w:sz w:val="22"/>
          <w:szCs w:val="22"/>
          <w:lang w:val="en-US"/>
        </w:rPr>
        <w:t xml:space="preserve">(ALBs) </w:t>
      </w:r>
      <w:r w:rsidRPr="006F164F">
        <w:rPr>
          <w:rFonts w:ascii="Arial" w:hAnsi="Arial" w:cs="Arial"/>
          <w:sz w:val="22"/>
          <w:szCs w:val="22"/>
          <w:lang w:val="en-US"/>
        </w:rPr>
        <w:t>properly briefed on the emerging situation.  This enabled DoH to manage a coordinated response across HSC organisations and key partners, as well as keeping the Minister of Health properly informed. During this period Departmental officials  worked closely with E</w:t>
      </w:r>
      <w:r w:rsidR="001E3145">
        <w:rPr>
          <w:rFonts w:ascii="Arial" w:hAnsi="Arial" w:cs="Arial"/>
          <w:sz w:val="22"/>
          <w:szCs w:val="22"/>
          <w:lang w:val="en-US"/>
        </w:rPr>
        <w:t xml:space="preserve">mergency </w:t>
      </w:r>
      <w:r w:rsidRPr="006F164F">
        <w:rPr>
          <w:rFonts w:ascii="Arial" w:hAnsi="Arial" w:cs="Arial"/>
          <w:sz w:val="22"/>
          <w:szCs w:val="22"/>
          <w:lang w:val="en-US"/>
        </w:rPr>
        <w:t>P</w:t>
      </w:r>
      <w:r w:rsidR="001E3145">
        <w:rPr>
          <w:rFonts w:ascii="Arial" w:hAnsi="Arial" w:cs="Arial"/>
          <w:sz w:val="22"/>
          <w:szCs w:val="22"/>
          <w:lang w:val="en-US"/>
        </w:rPr>
        <w:t xml:space="preserve">reparedness </w:t>
      </w:r>
      <w:r w:rsidRPr="006F164F">
        <w:rPr>
          <w:rFonts w:ascii="Arial" w:hAnsi="Arial" w:cs="Arial"/>
          <w:sz w:val="22"/>
          <w:szCs w:val="22"/>
          <w:lang w:val="en-US"/>
        </w:rPr>
        <w:t>R</w:t>
      </w:r>
      <w:r w:rsidR="001E3145">
        <w:rPr>
          <w:rFonts w:ascii="Arial" w:hAnsi="Arial" w:cs="Arial"/>
          <w:sz w:val="22"/>
          <w:szCs w:val="22"/>
          <w:lang w:val="en-US"/>
        </w:rPr>
        <w:t xml:space="preserve">esilience </w:t>
      </w:r>
      <w:r w:rsidRPr="006F164F">
        <w:rPr>
          <w:rFonts w:ascii="Arial" w:hAnsi="Arial" w:cs="Arial"/>
          <w:sz w:val="22"/>
          <w:szCs w:val="22"/>
          <w:lang w:val="en-US"/>
        </w:rPr>
        <w:t>R</w:t>
      </w:r>
      <w:r w:rsidR="001E3145">
        <w:rPr>
          <w:rFonts w:ascii="Arial" w:hAnsi="Arial" w:cs="Arial"/>
          <w:sz w:val="22"/>
          <w:szCs w:val="22"/>
          <w:lang w:val="en-US"/>
        </w:rPr>
        <w:t>esponse</w:t>
      </w:r>
      <w:r w:rsidRPr="006F164F">
        <w:rPr>
          <w:rFonts w:ascii="Arial" w:hAnsi="Arial" w:cs="Arial"/>
          <w:sz w:val="22"/>
          <w:szCs w:val="22"/>
          <w:lang w:val="en-US"/>
        </w:rPr>
        <w:t xml:space="preserve"> partners in the other DAs, including DHSC, who provided daily Sitreps as the situation evolved.  </w:t>
      </w:r>
    </w:p>
    <w:p w14:paraId="35846B1A" w14:textId="77777777" w:rsidR="00CD1632" w:rsidRPr="006F164F" w:rsidRDefault="00CD1632" w:rsidP="00CD1632">
      <w:pPr>
        <w:pStyle w:val="ListParagraph"/>
        <w:spacing w:line="276" w:lineRule="auto"/>
        <w:jc w:val="both"/>
        <w:rPr>
          <w:rFonts w:ascii="Arial" w:hAnsi="Arial" w:cs="Arial"/>
          <w:sz w:val="22"/>
          <w:szCs w:val="22"/>
          <w:lang w:val="en-US"/>
        </w:rPr>
      </w:pPr>
    </w:p>
    <w:p w14:paraId="340D8AA7" w14:textId="77777777"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 xml:space="preserve">From 31 January 2020 DoH required Health Silver to provide daily </w:t>
      </w:r>
      <w:proofErr w:type="spellStart"/>
      <w:r w:rsidRPr="006F164F">
        <w:rPr>
          <w:rFonts w:ascii="Arial" w:hAnsi="Arial" w:cs="Arial"/>
          <w:sz w:val="22"/>
          <w:szCs w:val="22"/>
          <w:lang w:val="en-US"/>
        </w:rPr>
        <w:t>SitReps</w:t>
      </w:r>
      <w:proofErr w:type="spellEnd"/>
      <w:r w:rsidRPr="006F164F">
        <w:rPr>
          <w:rFonts w:ascii="Arial" w:hAnsi="Arial" w:cs="Arial"/>
          <w:sz w:val="22"/>
          <w:szCs w:val="22"/>
          <w:lang w:val="en-US"/>
        </w:rPr>
        <w:t xml:space="preserve"> on multi-agency co-ordination at a tactical level.  In addition to this, DoH’s EOC gathered detailed information across local, national and international levels to advise and inform health providers of the latest developments</w:t>
      </w:r>
      <w:r>
        <w:rPr>
          <w:rFonts w:ascii="Arial" w:hAnsi="Arial" w:cs="Arial"/>
          <w:sz w:val="22"/>
          <w:szCs w:val="22"/>
          <w:lang w:val="en-US"/>
        </w:rPr>
        <w:t>,</w:t>
      </w:r>
      <w:r w:rsidRPr="006F164F">
        <w:rPr>
          <w:rFonts w:ascii="Arial" w:hAnsi="Arial" w:cs="Arial"/>
          <w:sz w:val="22"/>
          <w:szCs w:val="22"/>
          <w:lang w:val="en-US"/>
        </w:rPr>
        <w:t xml:space="preserve"> and to help coordinate resources across HSC. This information was gathered from a variety of sources, including daily calls with DHSC, HSC Silver and NIFRS, which provided the basis for the Northern Ireland Common </w:t>
      </w:r>
      <w:proofErr w:type="spellStart"/>
      <w:r w:rsidRPr="006F164F">
        <w:rPr>
          <w:rFonts w:ascii="Arial" w:hAnsi="Arial" w:cs="Arial"/>
          <w:sz w:val="22"/>
          <w:szCs w:val="22"/>
          <w:lang w:val="en-US"/>
        </w:rPr>
        <w:t>Recognised</w:t>
      </w:r>
      <w:proofErr w:type="spellEnd"/>
      <w:r w:rsidRPr="006F164F">
        <w:rPr>
          <w:rFonts w:ascii="Arial" w:hAnsi="Arial" w:cs="Arial"/>
          <w:sz w:val="22"/>
          <w:szCs w:val="22"/>
          <w:lang w:val="en-US"/>
        </w:rPr>
        <w:t xml:space="preserve"> Information Picture (CRIP) which was available to all key stakeholders and clearly displayed in the EOC. </w:t>
      </w:r>
    </w:p>
    <w:p w14:paraId="068D0A14" w14:textId="77777777" w:rsidR="00CD1632" w:rsidRPr="006F164F" w:rsidRDefault="00CD1632" w:rsidP="00CD1632">
      <w:pPr>
        <w:pStyle w:val="ListParagraph"/>
        <w:spacing w:line="276" w:lineRule="auto"/>
        <w:jc w:val="both"/>
        <w:rPr>
          <w:rFonts w:ascii="Arial" w:hAnsi="Arial" w:cs="Arial"/>
          <w:sz w:val="22"/>
          <w:szCs w:val="22"/>
          <w:lang w:val="en-US"/>
        </w:rPr>
      </w:pPr>
    </w:p>
    <w:p w14:paraId="6BC859D6" w14:textId="77777777"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As the emergency worsened, DoH’s coordination role developed significantly</w:t>
      </w:r>
      <w:r>
        <w:rPr>
          <w:rFonts w:ascii="Arial" w:hAnsi="Arial" w:cs="Arial"/>
          <w:sz w:val="22"/>
          <w:szCs w:val="22"/>
          <w:lang w:val="en-US"/>
        </w:rPr>
        <w:t>: it had</w:t>
      </w:r>
      <w:r w:rsidRPr="006F164F">
        <w:rPr>
          <w:rFonts w:ascii="Arial" w:hAnsi="Arial" w:cs="Arial"/>
          <w:sz w:val="22"/>
          <w:szCs w:val="22"/>
          <w:lang w:val="en-US"/>
        </w:rPr>
        <w:t xml:space="preserve"> </w:t>
      </w:r>
      <w:r>
        <w:rPr>
          <w:rFonts w:ascii="Arial" w:hAnsi="Arial" w:cs="Arial"/>
          <w:sz w:val="22"/>
          <w:szCs w:val="22"/>
          <w:lang w:val="en-US"/>
        </w:rPr>
        <w:t>d</w:t>
      </w:r>
      <w:r w:rsidRPr="006F164F">
        <w:rPr>
          <w:rFonts w:ascii="Arial" w:hAnsi="Arial" w:cs="Arial"/>
          <w:sz w:val="22"/>
          <w:szCs w:val="22"/>
          <w:lang w:val="en-US"/>
        </w:rPr>
        <w:t>aily</w:t>
      </w:r>
      <w:r>
        <w:rPr>
          <w:rFonts w:ascii="Arial" w:hAnsi="Arial" w:cs="Arial"/>
          <w:sz w:val="22"/>
          <w:szCs w:val="22"/>
          <w:lang w:val="en-US"/>
        </w:rPr>
        <w:t xml:space="preserve"> </w:t>
      </w:r>
      <w:r w:rsidRPr="006F164F">
        <w:rPr>
          <w:rFonts w:ascii="Arial" w:hAnsi="Arial" w:cs="Arial"/>
          <w:sz w:val="22"/>
          <w:szCs w:val="22"/>
          <w:lang w:val="en-US"/>
        </w:rPr>
        <w:t xml:space="preserve">calls with </w:t>
      </w:r>
      <w:r>
        <w:rPr>
          <w:rFonts w:ascii="Arial" w:hAnsi="Arial" w:cs="Arial"/>
          <w:sz w:val="22"/>
          <w:szCs w:val="22"/>
          <w:lang w:val="en-US"/>
        </w:rPr>
        <w:t xml:space="preserve">UK </w:t>
      </w:r>
      <w:r w:rsidRPr="006F164F">
        <w:rPr>
          <w:rFonts w:ascii="Arial" w:hAnsi="Arial" w:cs="Arial"/>
          <w:sz w:val="22"/>
          <w:szCs w:val="22"/>
          <w:lang w:val="en-US"/>
        </w:rPr>
        <w:t>policy teams</w:t>
      </w:r>
      <w:r>
        <w:rPr>
          <w:rFonts w:ascii="Arial" w:hAnsi="Arial" w:cs="Arial"/>
          <w:sz w:val="22"/>
          <w:szCs w:val="22"/>
          <w:lang w:val="en-US"/>
        </w:rPr>
        <w:t>;</w:t>
      </w:r>
      <w:r w:rsidRPr="006F164F">
        <w:rPr>
          <w:rFonts w:ascii="Arial" w:hAnsi="Arial" w:cs="Arial"/>
          <w:sz w:val="22"/>
          <w:szCs w:val="22"/>
          <w:lang w:val="en-US"/>
        </w:rPr>
        <w:t xml:space="preserve"> during which time the PHA were also having daily calls with PHE. DoH worked with </w:t>
      </w:r>
      <w:proofErr w:type="spellStart"/>
      <w:r w:rsidRPr="006F164F">
        <w:rPr>
          <w:rFonts w:ascii="Arial" w:hAnsi="Arial" w:cs="Arial"/>
          <w:sz w:val="22"/>
          <w:szCs w:val="22"/>
          <w:lang w:val="en-US"/>
        </w:rPr>
        <w:t>NIDirect</w:t>
      </w:r>
      <w:proofErr w:type="spellEnd"/>
      <w:r w:rsidRPr="006F164F">
        <w:rPr>
          <w:rFonts w:ascii="Arial" w:hAnsi="Arial" w:cs="Arial"/>
          <w:sz w:val="22"/>
          <w:szCs w:val="22"/>
          <w:lang w:val="en-US"/>
        </w:rPr>
        <w:t xml:space="preserve"> to manage a public helpline. DoH officials worked alongside colleagues from NHS, DHSC, PHA and the MoD on transfer arrangement protocols for the first possible cases in</w:t>
      </w:r>
      <w:r>
        <w:rPr>
          <w:rFonts w:ascii="Arial" w:hAnsi="Arial" w:cs="Arial"/>
          <w:sz w:val="22"/>
          <w:szCs w:val="22"/>
          <w:lang w:val="en-US"/>
        </w:rPr>
        <w:t xml:space="preserve">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6F164F">
        <w:rPr>
          <w:rFonts w:ascii="Arial" w:hAnsi="Arial" w:cs="Arial"/>
          <w:sz w:val="22"/>
          <w:szCs w:val="22"/>
          <w:lang w:val="en-US"/>
        </w:rPr>
        <w:t>.  During this period DoH developed and assisted the NICS in establishing guidance and information for professional staff and the public on managing the effects of Covid-19.</w:t>
      </w:r>
    </w:p>
    <w:p w14:paraId="002B45E8" w14:textId="77777777" w:rsidR="00CD1632" w:rsidRPr="006F164F" w:rsidRDefault="00CD1632" w:rsidP="00CD1632">
      <w:pPr>
        <w:pStyle w:val="ListParagraph"/>
        <w:spacing w:line="276" w:lineRule="auto"/>
        <w:jc w:val="both"/>
        <w:rPr>
          <w:rFonts w:ascii="Arial" w:hAnsi="Arial" w:cs="Arial"/>
          <w:sz w:val="22"/>
          <w:szCs w:val="22"/>
          <w:lang w:val="en-US"/>
        </w:rPr>
      </w:pPr>
    </w:p>
    <w:p w14:paraId="17257C9F" w14:textId="77777777"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In collaboration with TEO, DHSC and the Cabinet Office</w:t>
      </w:r>
      <w:r>
        <w:rPr>
          <w:rFonts w:ascii="Arial" w:hAnsi="Arial" w:cs="Arial"/>
          <w:sz w:val="22"/>
          <w:szCs w:val="22"/>
          <w:lang w:val="en-US"/>
        </w:rPr>
        <w:t>,</w:t>
      </w:r>
      <w:r w:rsidRPr="006F164F">
        <w:rPr>
          <w:rFonts w:ascii="Arial" w:hAnsi="Arial" w:cs="Arial"/>
          <w:sz w:val="22"/>
          <w:szCs w:val="22"/>
          <w:lang w:val="en-US"/>
        </w:rPr>
        <w:t xml:space="preserve"> </w:t>
      </w:r>
      <w:proofErr w:type="gramStart"/>
      <w:r w:rsidRPr="006F164F">
        <w:rPr>
          <w:rFonts w:ascii="Arial" w:hAnsi="Arial" w:cs="Arial"/>
          <w:sz w:val="22"/>
          <w:szCs w:val="22"/>
          <w:lang w:val="en-US"/>
        </w:rPr>
        <w:t>DoH</w:t>
      </w:r>
      <w:proofErr w:type="gramEnd"/>
      <w:r w:rsidRPr="006F164F">
        <w:rPr>
          <w:rFonts w:ascii="Arial" w:hAnsi="Arial" w:cs="Arial"/>
          <w:sz w:val="22"/>
          <w:szCs w:val="22"/>
          <w:lang w:val="en-US"/>
        </w:rPr>
        <w:t xml:space="preserve"> coordinated the introduction of the Emergency Powers Coronavirus Act 2020. </w:t>
      </w:r>
    </w:p>
    <w:p w14:paraId="142AA11B" w14:textId="77777777" w:rsidR="00CD1632" w:rsidRPr="006F164F" w:rsidRDefault="00CD1632" w:rsidP="00CD1632">
      <w:pPr>
        <w:pStyle w:val="ListParagraph"/>
        <w:spacing w:line="276" w:lineRule="auto"/>
        <w:jc w:val="both"/>
        <w:rPr>
          <w:rFonts w:ascii="Arial" w:hAnsi="Arial" w:cs="Arial"/>
          <w:sz w:val="22"/>
          <w:szCs w:val="22"/>
          <w:lang w:val="en-US"/>
        </w:rPr>
      </w:pPr>
    </w:p>
    <w:p w14:paraId="42733346" w14:textId="77777777"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There were also regular meetings between Health Gold/HSC Silver. Th</w:t>
      </w:r>
      <w:r>
        <w:rPr>
          <w:rFonts w:ascii="Arial" w:hAnsi="Arial" w:cs="Arial"/>
          <w:sz w:val="22"/>
          <w:szCs w:val="22"/>
          <w:lang w:val="en-US"/>
        </w:rPr>
        <w:t>ese</w:t>
      </w:r>
      <w:r w:rsidRPr="006F164F">
        <w:rPr>
          <w:rFonts w:ascii="Arial" w:hAnsi="Arial" w:cs="Arial"/>
          <w:sz w:val="22"/>
          <w:szCs w:val="22"/>
          <w:lang w:val="en-US"/>
        </w:rPr>
        <w:t xml:space="preserve"> meeting</w:t>
      </w:r>
      <w:r>
        <w:rPr>
          <w:rFonts w:ascii="Arial" w:hAnsi="Arial" w:cs="Arial"/>
          <w:sz w:val="22"/>
          <w:szCs w:val="22"/>
          <w:lang w:val="en-US"/>
        </w:rPr>
        <w:t>s</w:t>
      </w:r>
      <w:r w:rsidRPr="006F164F">
        <w:rPr>
          <w:rFonts w:ascii="Arial" w:hAnsi="Arial" w:cs="Arial"/>
          <w:sz w:val="22"/>
          <w:szCs w:val="22"/>
          <w:lang w:val="en-US"/>
        </w:rPr>
        <w:t xml:space="preserve"> facilitated decision making opportunities and the sharing of information between Health Gold, HSC Silver and HSC organisations, and enabled key issues to be discussed and actions agreed. </w:t>
      </w:r>
    </w:p>
    <w:p w14:paraId="5882E5BE" w14:textId="77777777" w:rsidR="00CD1632" w:rsidRPr="006F164F" w:rsidRDefault="00CD1632" w:rsidP="00CD1632">
      <w:pPr>
        <w:pStyle w:val="ListParagraph"/>
        <w:spacing w:line="276" w:lineRule="auto"/>
        <w:jc w:val="both"/>
        <w:rPr>
          <w:rFonts w:ascii="Arial" w:hAnsi="Arial" w:cs="Arial"/>
          <w:sz w:val="22"/>
          <w:szCs w:val="22"/>
          <w:lang w:val="en-US"/>
        </w:rPr>
      </w:pPr>
    </w:p>
    <w:p w14:paraId="30B489DC" w14:textId="77777777" w:rsidR="00CD1632" w:rsidRPr="006F164F"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 xml:space="preserve">The EOC also established a Generic Information Management System to support a daily </w:t>
      </w:r>
      <w:r>
        <w:rPr>
          <w:rFonts w:ascii="Arial" w:hAnsi="Arial" w:cs="Arial"/>
          <w:sz w:val="22"/>
          <w:szCs w:val="22"/>
          <w:lang w:val="en-US"/>
        </w:rPr>
        <w:t>‘</w:t>
      </w:r>
      <w:r w:rsidRPr="006F164F">
        <w:rPr>
          <w:rFonts w:ascii="Arial" w:hAnsi="Arial" w:cs="Arial"/>
          <w:sz w:val="22"/>
          <w:szCs w:val="22"/>
          <w:lang w:val="en-US"/>
        </w:rPr>
        <w:t>Reporting Rhythm</w:t>
      </w:r>
      <w:r>
        <w:rPr>
          <w:rFonts w:ascii="Arial" w:hAnsi="Arial" w:cs="Arial"/>
          <w:sz w:val="22"/>
          <w:szCs w:val="22"/>
          <w:lang w:val="en-US"/>
        </w:rPr>
        <w:t>’</w:t>
      </w:r>
      <w:r w:rsidRPr="006F164F">
        <w:rPr>
          <w:rFonts w:ascii="Arial" w:hAnsi="Arial" w:cs="Arial"/>
          <w:sz w:val="22"/>
          <w:szCs w:val="22"/>
          <w:lang w:val="en-US"/>
        </w:rPr>
        <w:t xml:space="preserve"> and a </w:t>
      </w:r>
      <w:r>
        <w:rPr>
          <w:rFonts w:ascii="Arial" w:hAnsi="Arial" w:cs="Arial"/>
          <w:sz w:val="22"/>
          <w:szCs w:val="22"/>
          <w:lang w:val="en-US"/>
        </w:rPr>
        <w:t>‘</w:t>
      </w:r>
      <w:r w:rsidRPr="006F164F">
        <w:rPr>
          <w:rFonts w:ascii="Arial" w:hAnsi="Arial" w:cs="Arial"/>
          <w:sz w:val="22"/>
          <w:szCs w:val="22"/>
          <w:lang w:val="en-US"/>
        </w:rPr>
        <w:t>Key Issues  and Actions information Board</w:t>
      </w:r>
      <w:r>
        <w:rPr>
          <w:rFonts w:ascii="Arial" w:hAnsi="Arial" w:cs="Arial"/>
          <w:sz w:val="22"/>
          <w:szCs w:val="22"/>
          <w:lang w:val="en-US"/>
        </w:rPr>
        <w:t>’</w:t>
      </w:r>
      <w:r w:rsidRPr="006F164F">
        <w:rPr>
          <w:rFonts w:ascii="Arial" w:hAnsi="Arial" w:cs="Arial"/>
          <w:sz w:val="22"/>
          <w:szCs w:val="22"/>
          <w:lang w:val="en-US"/>
        </w:rPr>
        <w:t xml:space="preserve">, which helped to inform key stakeholders at a local and </w:t>
      </w:r>
      <w:r>
        <w:rPr>
          <w:rFonts w:ascii="Arial" w:hAnsi="Arial" w:cs="Arial"/>
          <w:sz w:val="22"/>
          <w:szCs w:val="22"/>
          <w:lang w:val="en-US"/>
        </w:rPr>
        <w:t>n</w:t>
      </w:r>
      <w:r w:rsidRPr="006F164F">
        <w:rPr>
          <w:rFonts w:ascii="Arial" w:hAnsi="Arial" w:cs="Arial"/>
          <w:sz w:val="22"/>
          <w:szCs w:val="22"/>
          <w:lang w:val="en-US"/>
        </w:rPr>
        <w:t xml:space="preserve">ational level. This enabled </w:t>
      </w:r>
      <w:r>
        <w:rPr>
          <w:rFonts w:ascii="Arial" w:hAnsi="Arial" w:cs="Arial"/>
          <w:sz w:val="22"/>
          <w:szCs w:val="22"/>
          <w:lang w:val="en-US"/>
        </w:rPr>
        <w:t xml:space="preserve">DoH </w:t>
      </w:r>
      <w:r w:rsidRPr="006F164F">
        <w:rPr>
          <w:rFonts w:ascii="Arial" w:hAnsi="Arial" w:cs="Arial"/>
          <w:sz w:val="22"/>
          <w:szCs w:val="22"/>
          <w:lang w:val="en-US"/>
        </w:rPr>
        <w:t>to take informed decisions across health and to coordinate the sharing of accurate and timely information</w:t>
      </w:r>
      <w:r>
        <w:rPr>
          <w:rFonts w:ascii="Arial" w:hAnsi="Arial" w:cs="Arial"/>
          <w:sz w:val="22"/>
          <w:szCs w:val="22"/>
          <w:lang w:val="en-US"/>
        </w:rPr>
        <w:t>,</w:t>
      </w:r>
      <w:r w:rsidRPr="006F164F">
        <w:rPr>
          <w:rFonts w:ascii="Arial" w:hAnsi="Arial" w:cs="Arial"/>
          <w:sz w:val="22"/>
          <w:szCs w:val="22"/>
          <w:lang w:val="en-US"/>
        </w:rPr>
        <w:t xml:space="preserve"> including communications and public messaging on situational awareness.</w:t>
      </w:r>
    </w:p>
    <w:p w14:paraId="19197C9D" w14:textId="77777777" w:rsidR="00CD1632" w:rsidRPr="006F164F" w:rsidRDefault="00CD1632" w:rsidP="00CD1632">
      <w:pPr>
        <w:pStyle w:val="ListParagraph"/>
        <w:spacing w:line="276" w:lineRule="auto"/>
        <w:jc w:val="both"/>
        <w:rPr>
          <w:rFonts w:ascii="Arial" w:hAnsi="Arial" w:cs="Arial"/>
          <w:sz w:val="22"/>
          <w:szCs w:val="22"/>
          <w:lang w:val="en-US"/>
        </w:rPr>
      </w:pPr>
    </w:p>
    <w:p w14:paraId="01CE55A7" w14:textId="45E744F4" w:rsidR="00CD1632" w:rsidRPr="001C4231" w:rsidRDefault="00CD1632" w:rsidP="00CD1632">
      <w:pPr>
        <w:pStyle w:val="ListParagraph"/>
        <w:numPr>
          <w:ilvl w:val="0"/>
          <w:numId w:val="7"/>
        </w:numPr>
        <w:spacing w:line="276" w:lineRule="auto"/>
        <w:jc w:val="both"/>
        <w:rPr>
          <w:rFonts w:ascii="Arial" w:hAnsi="Arial" w:cs="Arial"/>
          <w:sz w:val="22"/>
          <w:szCs w:val="22"/>
          <w:lang w:val="en-US"/>
        </w:rPr>
      </w:pPr>
      <w:r w:rsidRPr="006F164F">
        <w:rPr>
          <w:rFonts w:ascii="Arial" w:hAnsi="Arial" w:cs="Arial"/>
          <w:sz w:val="22"/>
          <w:szCs w:val="22"/>
          <w:lang w:val="en-US"/>
        </w:rPr>
        <w:t>The above are all examples of how DoH fulfilled its role as</w:t>
      </w:r>
      <w:r w:rsidR="005B2D3C">
        <w:rPr>
          <w:rFonts w:ascii="Arial" w:hAnsi="Arial" w:cs="Arial"/>
          <w:sz w:val="22"/>
          <w:szCs w:val="22"/>
          <w:lang w:val="en-US"/>
        </w:rPr>
        <w:t xml:space="preserve"> whether one describes it as</w:t>
      </w:r>
      <w:r w:rsidRPr="006F164F">
        <w:rPr>
          <w:rFonts w:ascii="Arial" w:hAnsi="Arial" w:cs="Arial"/>
          <w:sz w:val="22"/>
          <w:szCs w:val="22"/>
          <w:lang w:val="en-US"/>
        </w:rPr>
        <w:t xml:space="preserve"> LGD</w:t>
      </w:r>
      <w:r w:rsidR="005B2D3C">
        <w:rPr>
          <w:rFonts w:ascii="Arial" w:hAnsi="Arial" w:cs="Arial"/>
          <w:sz w:val="22"/>
          <w:szCs w:val="22"/>
          <w:lang w:val="en-US"/>
        </w:rPr>
        <w:t xml:space="preserve"> or lead </w:t>
      </w:r>
      <w:proofErr w:type="spellStart"/>
      <w:proofErr w:type="gramStart"/>
      <w:r w:rsidR="005B2D3C">
        <w:rPr>
          <w:rFonts w:ascii="Arial" w:hAnsi="Arial" w:cs="Arial"/>
          <w:sz w:val="22"/>
          <w:szCs w:val="22"/>
          <w:lang w:val="en-US"/>
        </w:rPr>
        <w:t>organisation</w:t>
      </w:r>
      <w:proofErr w:type="spellEnd"/>
      <w:r w:rsidRPr="006F164F">
        <w:rPr>
          <w:rFonts w:ascii="Arial" w:hAnsi="Arial" w:cs="Arial"/>
          <w:sz w:val="22"/>
          <w:szCs w:val="22"/>
          <w:lang w:val="en-US"/>
        </w:rPr>
        <w:t>,</w:t>
      </w:r>
      <w:r w:rsidR="005B2D3C">
        <w:rPr>
          <w:rFonts w:ascii="Arial" w:hAnsi="Arial" w:cs="Arial"/>
          <w:sz w:val="22"/>
          <w:szCs w:val="22"/>
          <w:lang w:val="en-US"/>
        </w:rPr>
        <w:t xml:space="preserve"> </w:t>
      </w:r>
      <w:r w:rsidRPr="006F164F">
        <w:rPr>
          <w:rFonts w:ascii="Arial" w:hAnsi="Arial" w:cs="Arial"/>
          <w:sz w:val="22"/>
          <w:szCs w:val="22"/>
          <w:lang w:val="en-US"/>
        </w:rPr>
        <w:t>and</w:t>
      </w:r>
      <w:proofErr w:type="gramEnd"/>
      <w:r w:rsidRPr="006F164F">
        <w:rPr>
          <w:rFonts w:ascii="Arial" w:hAnsi="Arial" w:cs="Arial"/>
          <w:sz w:val="22"/>
          <w:szCs w:val="22"/>
          <w:lang w:val="en-US"/>
        </w:rPr>
        <w:t xml:space="preserve"> coordinated a </w:t>
      </w:r>
      <w:r w:rsidR="002822CB">
        <w:rPr>
          <w:rFonts w:ascii="Arial" w:hAnsi="Arial" w:cs="Arial"/>
          <w:sz w:val="22"/>
          <w:szCs w:val="22"/>
          <w:lang w:val="en-US"/>
        </w:rPr>
        <w:t xml:space="preserve">multi-agency response to the threat of Covid-19. A </w:t>
      </w:r>
      <w:r w:rsidRPr="006F164F">
        <w:rPr>
          <w:rFonts w:ascii="Arial" w:hAnsi="Arial" w:cs="Arial"/>
          <w:sz w:val="22"/>
          <w:szCs w:val="22"/>
          <w:lang w:val="en-US"/>
        </w:rPr>
        <w:t>cross</w:t>
      </w:r>
      <w:r w:rsidR="002822CB">
        <w:rPr>
          <w:rFonts w:ascii="Arial" w:hAnsi="Arial" w:cs="Arial"/>
          <w:sz w:val="22"/>
          <w:szCs w:val="22"/>
          <w:lang w:val="en-US"/>
        </w:rPr>
        <w:t>–</w:t>
      </w:r>
      <w:r w:rsidRPr="006F164F">
        <w:rPr>
          <w:rFonts w:ascii="Arial" w:hAnsi="Arial" w:cs="Arial"/>
          <w:sz w:val="22"/>
          <w:szCs w:val="22"/>
          <w:lang w:val="en-US"/>
        </w:rPr>
        <w:t xml:space="preserve"> departmental</w:t>
      </w:r>
      <w:r w:rsidR="002822CB">
        <w:rPr>
          <w:rFonts w:ascii="Arial" w:hAnsi="Arial" w:cs="Arial"/>
          <w:sz w:val="22"/>
          <w:szCs w:val="22"/>
          <w:lang w:val="en-US"/>
        </w:rPr>
        <w:t>, multi – agency coordination</w:t>
      </w:r>
      <w:r w:rsidRPr="006F164F">
        <w:rPr>
          <w:rFonts w:ascii="Arial" w:hAnsi="Arial" w:cs="Arial"/>
          <w:sz w:val="22"/>
          <w:szCs w:val="22"/>
          <w:lang w:val="en-US"/>
        </w:rPr>
        <w:t xml:space="preserve"> role was taken on by TEO</w:t>
      </w:r>
      <w:r w:rsidRPr="003D41E1">
        <w:rPr>
          <w:rFonts w:ascii="Arial" w:hAnsi="Arial" w:cs="Arial"/>
          <w:sz w:val="22"/>
          <w:szCs w:val="22"/>
          <w:lang w:val="en-US"/>
        </w:rPr>
        <w:t xml:space="preserve"> </w:t>
      </w:r>
      <w:r>
        <w:rPr>
          <w:rFonts w:ascii="Arial" w:hAnsi="Arial" w:cs="Arial"/>
          <w:sz w:val="22"/>
          <w:szCs w:val="22"/>
          <w:lang w:val="en-US"/>
        </w:rPr>
        <w:t xml:space="preserve">after the activation of </w:t>
      </w:r>
      <w:r w:rsidRPr="006F164F">
        <w:rPr>
          <w:rFonts w:ascii="Arial" w:hAnsi="Arial" w:cs="Arial"/>
          <w:sz w:val="22"/>
          <w:szCs w:val="22"/>
          <w:lang w:val="en-US"/>
        </w:rPr>
        <w:t>NICCMA</w:t>
      </w:r>
      <w:r w:rsidR="002822CB">
        <w:rPr>
          <w:rFonts w:ascii="Arial" w:hAnsi="Arial" w:cs="Arial"/>
          <w:sz w:val="22"/>
          <w:szCs w:val="22"/>
          <w:lang w:val="en-US"/>
        </w:rPr>
        <w:t>, with support from DoH</w:t>
      </w:r>
      <w:r w:rsidRPr="006F164F">
        <w:rPr>
          <w:rFonts w:ascii="Arial" w:hAnsi="Arial" w:cs="Arial"/>
          <w:sz w:val="22"/>
          <w:szCs w:val="22"/>
          <w:lang w:val="en-US"/>
        </w:rPr>
        <w:t>.</w:t>
      </w:r>
    </w:p>
    <w:p w14:paraId="63B88723" w14:textId="77777777" w:rsidR="00CD1632" w:rsidRPr="00D86495" w:rsidRDefault="00CD1632" w:rsidP="00CD1632">
      <w:pPr>
        <w:pStyle w:val="ListParagraph"/>
        <w:spacing w:line="276" w:lineRule="auto"/>
        <w:jc w:val="both"/>
        <w:rPr>
          <w:rFonts w:ascii="Arial" w:hAnsi="Arial" w:cs="Arial"/>
          <w:sz w:val="22"/>
          <w:szCs w:val="22"/>
        </w:rPr>
      </w:pPr>
    </w:p>
    <w:p w14:paraId="39252EA5" w14:textId="77777777" w:rsidR="00CD1632" w:rsidRPr="00D86495" w:rsidRDefault="00CD1632" w:rsidP="00CD1632">
      <w:pPr>
        <w:pStyle w:val="ListParagraph"/>
        <w:numPr>
          <w:ilvl w:val="0"/>
          <w:numId w:val="7"/>
        </w:numPr>
        <w:spacing w:line="276" w:lineRule="auto"/>
        <w:jc w:val="both"/>
        <w:rPr>
          <w:rFonts w:ascii="Arial" w:hAnsi="Arial" w:cs="Arial"/>
          <w:sz w:val="22"/>
          <w:szCs w:val="22"/>
        </w:rPr>
      </w:pPr>
      <w:r w:rsidRPr="00D86495">
        <w:rPr>
          <w:rFonts w:ascii="Arial" w:hAnsi="Arial" w:cs="Arial"/>
          <w:sz w:val="22"/>
          <w:szCs w:val="22"/>
        </w:rPr>
        <w:t>CCG(NI) arrangements are primarily geared to responding to civil contingencies, and do not necessarily require to be stood up during the preparedness stage</w:t>
      </w:r>
      <w:r w:rsidRPr="00D86495">
        <w:rPr>
          <w:rStyle w:val="FootnoteReference"/>
          <w:rFonts w:ascii="Arial" w:hAnsi="Arial" w:cs="Arial"/>
          <w:sz w:val="22"/>
          <w:szCs w:val="22"/>
        </w:rPr>
        <w:footnoteReference w:id="19"/>
      </w:r>
      <w:r w:rsidRPr="00D86495">
        <w:rPr>
          <w:rFonts w:ascii="Arial" w:hAnsi="Arial" w:cs="Arial"/>
          <w:sz w:val="22"/>
          <w:szCs w:val="22"/>
        </w:rPr>
        <w:t xml:space="preserve"> (See further at para 41). </w:t>
      </w:r>
      <w:r>
        <w:rPr>
          <w:rFonts w:ascii="Arial" w:hAnsi="Arial" w:cs="Arial"/>
          <w:sz w:val="22"/>
          <w:szCs w:val="22"/>
        </w:rPr>
        <w:t>As detailed above, DoH</w:t>
      </w:r>
      <w:r w:rsidRPr="00D86495">
        <w:rPr>
          <w:rFonts w:ascii="Arial" w:hAnsi="Arial" w:cs="Arial"/>
          <w:sz w:val="22"/>
          <w:szCs w:val="22"/>
        </w:rPr>
        <w:t xml:space="preserve"> undertook significant work </w:t>
      </w:r>
      <w:r>
        <w:rPr>
          <w:rFonts w:ascii="Arial" w:hAnsi="Arial" w:cs="Arial"/>
          <w:sz w:val="22"/>
          <w:szCs w:val="22"/>
        </w:rPr>
        <w:t>i</w:t>
      </w:r>
      <w:r w:rsidRPr="00D86495">
        <w:rPr>
          <w:rFonts w:ascii="Arial" w:hAnsi="Arial" w:cs="Arial"/>
          <w:sz w:val="22"/>
          <w:szCs w:val="22"/>
        </w:rPr>
        <w:t>n preparation for the stage whe</w:t>
      </w:r>
      <w:r>
        <w:rPr>
          <w:rFonts w:ascii="Arial" w:hAnsi="Arial" w:cs="Arial"/>
          <w:sz w:val="22"/>
          <w:szCs w:val="22"/>
        </w:rPr>
        <w:t>n</w:t>
      </w:r>
      <w:r w:rsidRPr="00D86495">
        <w:rPr>
          <w:rFonts w:ascii="Arial" w:hAnsi="Arial" w:cs="Arial"/>
          <w:sz w:val="22"/>
          <w:szCs w:val="22"/>
        </w:rPr>
        <w:t xml:space="preserve"> responsive measures </w:t>
      </w:r>
      <w:r>
        <w:rPr>
          <w:rFonts w:ascii="Arial" w:hAnsi="Arial" w:cs="Arial"/>
          <w:sz w:val="22"/>
          <w:szCs w:val="22"/>
        </w:rPr>
        <w:t>would</w:t>
      </w:r>
      <w:r w:rsidRPr="00D86495">
        <w:rPr>
          <w:rFonts w:ascii="Arial" w:hAnsi="Arial" w:cs="Arial"/>
          <w:sz w:val="22"/>
          <w:szCs w:val="22"/>
        </w:rPr>
        <w:t xml:space="preserve"> be taken. Accordingly it is submitted </w:t>
      </w:r>
      <w:r>
        <w:rPr>
          <w:rFonts w:ascii="Arial" w:hAnsi="Arial" w:cs="Arial"/>
          <w:sz w:val="22"/>
          <w:szCs w:val="22"/>
        </w:rPr>
        <w:t xml:space="preserve">that ‘preparing’ for the pandemic should not be viewed as beginning with </w:t>
      </w:r>
      <w:r w:rsidRPr="00D86495">
        <w:rPr>
          <w:rFonts w:ascii="Arial" w:hAnsi="Arial" w:cs="Arial"/>
          <w:sz w:val="22"/>
          <w:szCs w:val="22"/>
        </w:rPr>
        <w:t xml:space="preserve">the </w:t>
      </w:r>
      <w:r>
        <w:rPr>
          <w:rFonts w:ascii="Arial" w:hAnsi="Arial" w:cs="Arial"/>
          <w:sz w:val="22"/>
          <w:szCs w:val="22"/>
        </w:rPr>
        <w:t>activation</w:t>
      </w:r>
      <w:r w:rsidRPr="00D86495">
        <w:rPr>
          <w:rFonts w:ascii="Arial" w:hAnsi="Arial" w:cs="Arial"/>
          <w:sz w:val="22"/>
          <w:szCs w:val="22"/>
        </w:rPr>
        <w:t xml:space="preserve"> of NICCMA </w:t>
      </w:r>
      <w:r>
        <w:rPr>
          <w:rFonts w:ascii="Arial" w:hAnsi="Arial" w:cs="Arial"/>
          <w:sz w:val="22"/>
          <w:szCs w:val="22"/>
        </w:rPr>
        <w:t xml:space="preserve">or </w:t>
      </w:r>
      <w:r w:rsidRPr="00D86495">
        <w:rPr>
          <w:rFonts w:ascii="Arial" w:hAnsi="Arial" w:cs="Arial"/>
          <w:sz w:val="22"/>
          <w:szCs w:val="22"/>
        </w:rPr>
        <w:t xml:space="preserve">the standing up of the </w:t>
      </w:r>
      <w:r>
        <w:rPr>
          <w:rFonts w:ascii="Arial" w:hAnsi="Arial" w:cs="Arial"/>
          <w:sz w:val="22"/>
          <w:szCs w:val="22"/>
        </w:rPr>
        <w:t xml:space="preserve">NI </w:t>
      </w:r>
      <w:r w:rsidRPr="00D86495">
        <w:rPr>
          <w:rFonts w:ascii="Arial" w:hAnsi="Arial" w:cs="Arial"/>
          <w:sz w:val="22"/>
          <w:szCs w:val="22"/>
        </w:rPr>
        <w:t xml:space="preserve">Hub.  To this end, the Inquiry is invited to review the work that had been </w:t>
      </w:r>
      <w:r>
        <w:rPr>
          <w:rFonts w:ascii="Arial" w:hAnsi="Arial" w:cs="Arial"/>
          <w:sz w:val="22"/>
          <w:szCs w:val="22"/>
        </w:rPr>
        <w:t xml:space="preserve">carried out </w:t>
      </w:r>
      <w:r w:rsidRPr="00D86495">
        <w:rPr>
          <w:rFonts w:ascii="Arial" w:hAnsi="Arial" w:cs="Arial"/>
          <w:sz w:val="22"/>
          <w:szCs w:val="22"/>
        </w:rPr>
        <w:t>prior to the activation of NICCMA, when assessing the level of work done in early 2020 in anticipation of the potential impact of Covid-19 in Northern Ireland.</w:t>
      </w:r>
    </w:p>
    <w:p w14:paraId="627B541E" w14:textId="77777777" w:rsidR="00CD1632" w:rsidRPr="00D86495" w:rsidRDefault="00CD1632" w:rsidP="00CD1632">
      <w:pPr>
        <w:pStyle w:val="ListParagraph"/>
        <w:spacing w:line="276" w:lineRule="auto"/>
        <w:jc w:val="both"/>
        <w:rPr>
          <w:rFonts w:ascii="Arial" w:hAnsi="Arial" w:cs="Arial"/>
          <w:sz w:val="22"/>
          <w:szCs w:val="22"/>
          <w:lang w:val="en-US"/>
        </w:rPr>
      </w:pPr>
    </w:p>
    <w:p w14:paraId="3056FD7B" w14:textId="77777777" w:rsidR="00CD1632" w:rsidRPr="00530492"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rPr>
        <w:t xml:space="preserve">Consideration of events also needs to reflect the resourcing issues and judgment exercised by </w:t>
      </w:r>
      <w:r>
        <w:rPr>
          <w:rFonts w:ascii="Arial" w:hAnsi="Arial" w:cs="Arial"/>
          <w:sz w:val="22"/>
          <w:szCs w:val="22"/>
        </w:rPr>
        <w:t>M</w:t>
      </w:r>
      <w:r w:rsidRPr="00D86495">
        <w:rPr>
          <w:rFonts w:ascii="Arial" w:hAnsi="Arial" w:cs="Arial"/>
          <w:sz w:val="22"/>
          <w:szCs w:val="22"/>
        </w:rPr>
        <w:t>inisters, civil servants and officials</w:t>
      </w:r>
      <w:r>
        <w:rPr>
          <w:rFonts w:ascii="Arial" w:hAnsi="Arial" w:cs="Arial"/>
          <w:sz w:val="22"/>
          <w:szCs w:val="22"/>
        </w:rPr>
        <w:t>,</w:t>
      </w:r>
      <w:r w:rsidRPr="00D86495">
        <w:rPr>
          <w:rFonts w:ascii="Arial" w:hAnsi="Arial" w:cs="Arial"/>
          <w:sz w:val="22"/>
          <w:szCs w:val="22"/>
        </w:rPr>
        <w:t xml:space="preserve"> in weighing the benefits and costs of each step in the context of the information available at the time the decisions were taken. </w:t>
      </w:r>
      <w:r>
        <w:rPr>
          <w:rFonts w:ascii="Arial" w:hAnsi="Arial" w:cs="Arial"/>
          <w:sz w:val="22"/>
          <w:szCs w:val="22"/>
        </w:rPr>
        <w:t xml:space="preserve">The </w:t>
      </w:r>
      <w:r w:rsidRPr="00D86495">
        <w:rPr>
          <w:rFonts w:ascii="Arial" w:hAnsi="Arial" w:cs="Arial"/>
          <w:sz w:val="22"/>
          <w:szCs w:val="22"/>
        </w:rPr>
        <w:t xml:space="preserve"> timing of standing up NICCMA or the </w:t>
      </w:r>
      <w:r>
        <w:rPr>
          <w:rFonts w:ascii="Arial" w:hAnsi="Arial" w:cs="Arial"/>
          <w:sz w:val="22"/>
          <w:szCs w:val="22"/>
        </w:rPr>
        <w:t xml:space="preserve">NI </w:t>
      </w:r>
      <w:r w:rsidRPr="00D86495">
        <w:rPr>
          <w:rFonts w:ascii="Arial" w:hAnsi="Arial" w:cs="Arial"/>
          <w:sz w:val="22"/>
          <w:szCs w:val="22"/>
        </w:rPr>
        <w:t xml:space="preserve">Hub, or calling for that to occur, </w:t>
      </w:r>
      <w:r>
        <w:rPr>
          <w:rFonts w:ascii="Arial" w:hAnsi="Arial" w:cs="Arial"/>
          <w:sz w:val="22"/>
          <w:szCs w:val="22"/>
        </w:rPr>
        <w:t xml:space="preserve">was </w:t>
      </w:r>
      <w:r w:rsidRPr="00D86495">
        <w:rPr>
          <w:rFonts w:ascii="Arial" w:hAnsi="Arial" w:cs="Arial"/>
          <w:sz w:val="22"/>
          <w:szCs w:val="22"/>
        </w:rPr>
        <w:t>a judgment call based upon the developing situation</w:t>
      </w:r>
      <w:r>
        <w:rPr>
          <w:rFonts w:ascii="Arial" w:hAnsi="Arial" w:cs="Arial"/>
          <w:sz w:val="22"/>
          <w:szCs w:val="22"/>
        </w:rPr>
        <w:t>, given that t</w:t>
      </w:r>
      <w:r w:rsidRPr="00D86495">
        <w:rPr>
          <w:rFonts w:ascii="Arial" w:hAnsi="Arial" w:cs="Arial"/>
          <w:sz w:val="22"/>
          <w:szCs w:val="22"/>
        </w:rPr>
        <w:t xml:space="preserve">he standing up of NICCMA involves a huge </w:t>
      </w:r>
      <w:r>
        <w:rPr>
          <w:rFonts w:ascii="Arial" w:hAnsi="Arial" w:cs="Arial"/>
          <w:sz w:val="22"/>
          <w:szCs w:val="22"/>
        </w:rPr>
        <w:t xml:space="preserve">time and resource </w:t>
      </w:r>
      <w:r w:rsidRPr="00D86495">
        <w:rPr>
          <w:rFonts w:ascii="Arial" w:hAnsi="Arial" w:cs="Arial"/>
          <w:sz w:val="22"/>
          <w:szCs w:val="22"/>
        </w:rPr>
        <w:t>commitment from departments</w:t>
      </w:r>
      <w:r w:rsidRPr="00D86495">
        <w:rPr>
          <w:rStyle w:val="FootnoteReference"/>
          <w:rFonts w:ascii="Arial" w:hAnsi="Arial" w:cs="Arial"/>
          <w:sz w:val="22"/>
          <w:szCs w:val="22"/>
        </w:rPr>
        <w:footnoteReference w:id="20"/>
      </w:r>
      <w:r>
        <w:rPr>
          <w:rFonts w:ascii="Arial" w:hAnsi="Arial" w:cs="Arial"/>
          <w:sz w:val="22"/>
          <w:szCs w:val="22"/>
        </w:rPr>
        <w:t xml:space="preserve">. </w:t>
      </w:r>
      <w:r w:rsidRPr="003D41E1">
        <w:rPr>
          <w:rFonts w:ascii="Arial" w:hAnsi="Arial" w:cs="Arial"/>
          <w:sz w:val="22"/>
          <w:szCs w:val="22"/>
        </w:rPr>
        <w:t xml:space="preserve">Accordingly it is submitted that ‘preparing’ for the pandemic can take place well in advance of (and thus doesn’t simply begin with) the </w:t>
      </w:r>
      <w:r>
        <w:rPr>
          <w:rFonts w:ascii="Arial" w:hAnsi="Arial" w:cs="Arial"/>
          <w:sz w:val="22"/>
          <w:szCs w:val="22"/>
        </w:rPr>
        <w:t>activation</w:t>
      </w:r>
      <w:r w:rsidRPr="003D41E1">
        <w:rPr>
          <w:rFonts w:ascii="Arial" w:hAnsi="Arial" w:cs="Arial"/>
          <w:sz w:val="22"/>
          <w:szCs w:val="22"/>
        </w:rPr>
        <w:t xml:space="preserve"> of NICCMA </w:t>
      </w:r>
      <w:r>
        <w:rPr>
          <w:rFonts w:ascii="Arial" w:hAnsi="Arial" w:cs="Arial"/>
          <w:sz w:val="22"/>
          <w:szCs w:val="22"/>
        </w:rPr>
        <w:t xml:space="preserve">or the </w:t>
      </w:r>
      <w:r w:rsidRPr="003D41E1">
        <w:rPr>
          <w:rFonts w:ascii="Arial" w:hAnsi="Arial" w:cs="Arial"/>
          <w:sz w:val="22"/>
          <w:szCs w:val="22"/>
        </w:rPr>
        <w:t xml:space="preserve">standing up of the </w:t>
      </w:r>
      <w:r>
        <w:rPr>
          <w:rFonts w:ascii="Arial" w:hAnsi="Arial" w:cs="Arial"/>
          <w:sz w:val="22"/>
          <w:szCs w:val="22"/>
        </w:rPr>
        <w:t xml:space="preserve">NI </w:t>
      </w:r>
      <w:r w:rsidRPr="003D41E1">
        <w:rPr>
          <w:rFonts w:ascii="Arial" w:hAnsi="Arial" w:cs="Arial"/>
          <w:sz w:val="22"/>
          <w:szCs w:val="22"/>
        </w:rPr>
        <w:t>Hub</w:t>
      </w:r>
      <w:r>
        <w:rPr>
          <w:rFonts w:ascii="Arial" w:hAnsi="Arial" w:cs="Arial"/>
          <w:sz w:val="22"/>
          <w:szCs w:val="22"/>
        </w:rPr>
        <w:t xml:space="preserve">.  </w:t>
      </w:r>
    </w:p>
    <w:p w14:paraId="144737D2" w14:textId="77777777" w:rsidR="00CD1632" w:rsidRPr="00530492" w:rsidRDefault="00CD1632" w:rsidP="00CD1632">
      <w:pPr>
        <w:pStyle w:val="ListParagraph"/>
        <w:rPr>
          <w:rFonts w:ascii="Arial" w:hAnsi="Arial" w:cs="Arial"/>
          <w:sz w:val="22"/>
          <w:szCs w:val="22"/>
          <w:lang w:val="en-US"/>
        </w:rPr>
      </w:pPr>
    </w:p>
    <w:p w14:paraId="0B35287E" w14:textId="451A378A"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097F41">
        <w:rPr>
          <w:rFonts w:ascii="Arial" w:hAnsi="Arial" w:cs="Arial"/>
          <w:sz w:val="22"/>
          <w:szCs w:val="22"/>
          <w:lang w:val="en-US"/>
        </w:rPr>
        <w:t xml:space="preserve">Anthony Harbinson makes it plain that standing up the NI Hub was no easy task – it had no designated staff - and staffing it with the required skills and experience was problematic for a number of reasons, including that many staff with the required skills were already being deployed in their </w:t>
      </w:r>
      <w:r w:rsidR="00325F20">
        <w:rPr>
          <w:rFonts w:ascii="Arial" w:hAnsi="Arial" w:cs="Arial"/>
          <w:sz w:val="22"/>
          <w:szCs w:val="22"/>
          <w:lang w:val="en-US"/>
        </w:rPr>
        <w:t>D</w:t>
      </w:r>
      <w:r w:rsidRPr="00097F41">
        <w:rPr>
          <w:rFonts w:ascii="Arial" w:hAnsi="Arial" w:cs="Arial"/>
          <w:sz w:val="22"/>
          <w:szCs w:val="22"/>
          <w:lang w:val="en-US"/>
        </w:rPr>
        <w:t>epartmental</w:t>
      </w:r>
      <w:r w:rsidR="00325F20">
        <w:rPr>
          <w:rFonts w:ascii="Arial" w:hAnsi="Arial" w:cs="Arial"/>
          <w:sz w:val="22"/>
          <w:szCs w:val="22"/>
          <w:lang w:val="en-US"/>
        </w:rPr>
        <w:t xml:space="preserve"> </w:t>
      </w:r>
      <w:r w:rsidRPr="00097F41">
        <w:rPr>
          <w:rFonts w:ascii="Arial" w:hAnsi="Arial" w:cs="Arial"/>
          <w:sz w:val="22"/>
          <w:szCs w:val="22"/>
          <w:lang w:val="en-US"/>
        </w:rPr>
        <w:t>O</w:t>
      </w:r>
      <w:r w:rsidR="00325F20">
        <w:rPr>
          <w:rFonts w:ascii="Arial" w:hAnsi="Arial" w:cs="Arial"/>
          <w:sz w:val="22"/>
          <w:szCs w:val="22"/>
          <w:lang w:val="en-US"/>
        </w:rPr>
        <w:t xml:space="preserve">perations </w:t>
      </w:r>
      <w:proofErr w:type="spellStart"/>
      <w:r w:rsidRPr="00097F41">
        <w:rPr>
          <w:rFonts w:ascii="Arial" w:hAnsi="Arial" w:cs="Arial"/>
          <w:sz w:val="22"/>
          <w:szCs w:val="22"/>
          <w:lang w:val="en-US"/>
        </w:rPr>
        <w:t>C</w:t>
      </w:r>
      <w:r w:rsidR="00325F20">
        <w:rPr>
          <w:rFonts w:ascii="Arial" w:hAnsi="Arial" w:cs="Arial"/>
          <w:sz w:val="22"/>
          <w:szCs w:val="22"/>
          <w:lang w:val="en-US"/>
        </w:rPr>
        <w:t>entre</w:t>
      </w:r>
      <w:r w:rsidRPr="00097F41">
        <w:rPr>
          <w:rFonts w:ascii="Arial" w:hAnsi="Arial" w:cs="Arial"/>
          <w:sz w:val="22"/>
          <w:szCs w:val="22"/>
          <w:lang w:val="en-US"/>
        </w:rPr>
        <w:t>s</w:t>
      </w:r>
      <w:proofErr w:type="spellEnd"/>
      <w:r w:rsidR="00325F20">
        <w:rPr>
          <w:rFonts w:ascii="Arial" w:hAnsi="Arial" w:cs="Arial"/>
          <w:sz w:val="22"/>
          <w:szCs w:val="22"/>
          <w:lang w:val="en-US"/>
        </w:rPr>
        <w:t xml:space="preserve"> (DOCs)</w:t>
      </w:r>
      <w:r w:rsidRPr="00097F41">
        <w:rPr>
          <w:rFonts w:ascii="Arial" w:hAnsi="Arial" w:cs="Arial"/>
          <w:sz w:val="22"/>
          <w:szCs w:val="22"/>
          <w:lang w:val="en-US"/>
        </w:rPr>
        <w:t>, many were isolating</w:t>
      </w:r>
      <w:r>
        <w:rPr>
          <w:rFonts w:ascii="Arial" w:hAnsi="Arial" w:cs="Arial"/>
          <w:sz w:val="22"/>
          <w:szCs w:val="22"/>
          <w:lang w:val="en-US"/>
        </w:rPr>
        <w:t>,</w:t>
      </w:r>
      <w:r w:rsidRPr="00097F41">
        <w:rPr>
          <w:rFonts w:ascii="Arial" w:hAnsi="Arial" w:cs="Arial"/>
          <w:sz w:val="22"/>
          <w:szCs w:val="22"/>
          <w:lang w:val="en-US"/>
        </w:rPr>
        <w:t xml:space="preserve"> and terms and conditions were unattractive</w:t>
      </w:r>
      <w:r w:rsidRPr="00097F41">
        <w:rPr>
          <w:rFonts w:ascii="Arial" w:hAnsi="Arial" w:cs="Arial"/>
          <w:sz w:val="22"/>
          <w:szCs w:val="22"/>
          <w:vertAlign w:val="superscript"/>
          <w:lang w:val="en-US"/>
        </w:rPr>
        <w:footnoteReference w:id="21"/>
      </w:r>
      <w:r w:rsidRPr="00097F41">
        <w:rPr>
          <w:rFonts w:ascii="Arial" w:hAnsi="Arial" w:cs="Arial"/>
          <w:sz w:val="22"/>
          <w:szCs w:val="22"/>
          <w:lang w:val="en-US"/>
        </w:rPr>
        <w:t>.</w:t>
      </w:r>
      <w:r>
        <w:rPr>
          <w:rFonts w:ascii="Arial" w:hAnsi="Arial" w:cs="Arial"/>
          <w:sz w:val="22"/>
          <w:szCs w:val="22"/>
        </w:rPr>
        <w:t xml:space="preserve">  </w:t>
      </w:r>
      <w:r w:rsidRPr="00D86495">
        <w:rPr>
          <w:rFonts w:ascii="Arial" w:hAnsi="Arial" w:cs="Arial"/>
          <w:sz w:val="22"/>
          <w:szCs w:val="22"/>
        </w:rPr>
        <w:t>On 8 March 2020</w:t>
      </w:r>
      <w:r w:rsidR="002822CB">
        <w:rPr>
          <w:rFonts w:ascii="Arial" w:hAnsi="Arial" w:cs="Arial"/>
          <w:sz w:val="22"/>
          <w:szCs w:val="22"/>
        </w:rPr>
        <w:t xml:space="preserve"> (INQ000398439)</w:t>
      </w:r>
      <w:r w:rsidRPr="00D86495">
        <w:rPr>
          <w:rFonts w:ascii="Arial" w:hAnsi="Arial" w:cs="Arial"/>
          <w:sz w:val="22"/>
          <w:szCs w:val="22"/>
        </w:rPr>
        <w:t>, the Department of Education</w:t>
      </w:r>
      <w:r>
        <w:rPr>
          <w:rFonts w:ascii="Arial" w:hAnsi="Arial" w:cs="Arial"/>
          <w:sz w:val="22"/>
          <w:szCs w:val="22"/>
        </w:rPr>
        <w:t>’s Permanent Secretary</w:t>
      </w:r>
      <w:r w:rsidRPr="00D86495">
        <w:rPr>
          <w:rFonts w:ascii="Arial" w:hAnsi="Arial" w:cs="Arial"/>
          <w:sz w:val="22"/>
          <w:szCs w:val="22"/>
        </w:rPr>
        <w:t xml:space="preserve">, Derek Baker, </w:t>
      </w:r>
      <w:r>
        <w:rPr>
          <w:rFonts w:ascii="Arial" w:hAnsi="Arial" w:cs="Arial"/>
          <w:sz w:val="22"/>
          <w:szCs w:val="22"/>
        </w:rPr>
        <w:t>en</w:t>
      </w:r>
      <w:r w:rsidRPr="00D86495">
        <w:rPr>
          <w:rFonts w:ascii="Arial" w:hAnsi="Arial" w:cs="Arial"/>
          <w:sz w:val="22"/>
          <w:szCs w:val="22"/>
        </w:rPr>
        <w:t>qui</w:t>
      </w:r>
      <w:r>
        <w:rPr>
          <w:rFonts w:ascii="Arial" w:hAnsi="Arial" w:cs="Arial"/>
          <w:sz w:val="22"/>
          <w:szCs w:val="22"/>
        </w:rPr>
        <w:t>r</w:t>
      </w:r>
      <w:r w:rsidRPr="00D86495">
        <w:rPr>
          <w:rFonts w:ascii="Arial" w:hAnsi="Arial" w:cs="Arial"/>
          <w:sz w:val="22"/>
          <w:szCs w:val="22"/>
        </w:rPr>
        <w:t>ed about setting up the Hub</w:t>
      </w:r>
      <w:r>
        <w:rPr>
          <w:rFonts w:ascii="Arial" w:hAnsi="Arial" w:cs="Arial"/>
          <w:sz w:val="22"/>
          <w:szCs w:val="22"/>
        </w:rPr>
        <w:t>,</w:t>
      </w:r>
      <w:r w:rsidRPr="00D86495">
        <w:rPr>
          <w:rFonts w:ascii="Arial" w:hAnsi="Arial" w:cs="Arial"/>
          <w:sz w:val="22"/>
          <w:szCs w:val="22"/>
        </w:rPr>
        <w:t xml:space="preserve"> and</w:t>
      </w:r>
      <w:r>
        <w:rPr>
          <w:rFonts w:ascii="Arial" w:hAnsi="Arial" w:cs="Arial"/>
          <w:sz w:val="22"/>
          <w:szCs w:val="22"/>
        </w:rPr>
        <w:t xml:space="preserve"> </w:t>
      </w:r>
      <w:r w:rsidRPr="00D86495">
        <w:rPr>
          <w:rFonts w:ascii="Arial" w:hAnsi="Arial" w:cs="Arial"/>
          <w:sz w:val="22"/>
          <w:szCs w:val="22"/>
        </w:rPr>
        <w:t>Sir David Sterling, confirmed his view that it would be premature.</w:t>
      </w:r>
      <w:r>
        <w:rPr>
          <w:rFonts w:ascii="Arial" w:hAnsi="Arial" w:cs="Arial"/>
          <w:sz w:val="22"/>
          <w:szCs w:val="22"/>
        </w:rPr>
        <w:t xml:space="preserve">  This exchange demonstrates how TEO was better placed to understand the preparations made across the 9 departments and so, determine when it was appropriate to activate NICCMA.  It also provides insight into</w:t>
      </w:r>
      <w:r w:rsidRPr="00423A72">
        <w:t xml:space="preserve"> </w:t>
      </w:r>
      <w:r>
        <w:t xml:space="preserve">how </w:t>
      </w:r>
      <w:r w:rsidRPr="00423A72">
        <w:rPr>
          <w:rFonts w:ascii="Arial" w:hAnsi="Arial" w:cs="Arial"/>
          <w:sz w:val="22"/>
          <w:szCs w:val="22"/>
        </w:rPr>
        <w:t xml:space="preserve">other </w:t>
      </w:r>
      <w:r>
        <w:rPr>
          <w:rFonts w:ascii="Arial" w:hAnsi="Arial" w:cs="Arial"/>
          <w:sz w:val="22"/>
          <w:szCs w:val="22"/>
        </w:rPr>
        <w:t>d</w:t>
      </w:r>
      <w:r w:rsidRPr="00423A72">
        <w:rPr>
          <w:rFonts w:ascii="Arial" w:hAnsi="Arial" w:cs="Arial"/>
          <w:sz w:val="22"/>
          <w:szCs w:val="22"/>
        </w:rPr>
        <w:t>epartments underst</w:t>
      </w:r>
      <w:r>
        <w:rPr>
          <w:rFonts w:ascii="Arial" w:hAnsi="Arial" w:cs="Arial"/>
          <w:sz w:val="22"/>
          <w:szCs w:val="22"/>
        </w:rPr>
        <w:t>ood</w:t>
      </w:r>
      <w:r w:rsidRPr="00423A72">
        <w:rPr>
          <w:rFonts w:ascii="Arial" w:hAnsi="Arial" w:cs="Arial"/>
          <w:sz w:val="22"/>
          <w:szCs w:val="22"/>
        </w:rPr>
        <w:t xml:space="preserve"> </w:t>
      </w:r>
      <w:r>
        <w:rPr>
          <w:rFonts w:ascii="Arial" w:hAnsi="Arial" w:cs="Arial"/>
          <w:sz w:val="22"/>
          <w:szCs w:val="22"/>
        </w:rPr>
        <w:t xml:space="preserve">that their role was to approach TEO and advise of their views in relation to the activation of </w:t>
      </w:r>
      <w:r w:rsidRPr="00423A72">
        <w:rPr>
          <w:rFonts w:ascii="Arial" w:hAnsi="Arial" w:cs="Arial"/>
          <w:sz w:val="22"/>
          <w:szCs w:val="22"/>
        </w:rPr>
        <w:t>NICCMA</w:t>
      </w:r>
      <w:r>
        <w:rPr>
          <w:rFonts w:ascii="Arial" w:hAnsi="Arial" w:cs="Arial"/>
          <w:sz w:val="22"/>
          <w:szCs w:val="22"/>
        </w:rPr>
        <w:t xml:space="preserve">.  </w:t>
      </w:r>
    </w:p>
    <w:p w14:paraId="115F1BE7" w14:textId="77777777" w:rsidR="00CD1632" w:rsidRPr="00D86495" w:rsidRDefault="00CD1632" w:rsidP="00CD1632">
      <w:pPr>
        <w:pStyle w:val="ListParagraph"/>
        <w:spacing w:line="276" w:lineRule="auto"/>
        <w:jc w:val="both"/>
        <w:rPr>
          <w:rFonts w:ascii="Arial" w:hAnsi="Arial" w:cs="Arial"/>
          <w:sz w:val="22"/>
          <w:szCs w:val="22"/>
          <w:lang w:val="en-US"/>
        </w:rPr>
      </w:pPr>
    </w:p>
    <w:p w14:paraId="08BE3441"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CCG(NI) sits within TEO and is the strategic coordination group and, as such, is responsible for setting the overarching strategy for the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D86495" w:rsidDel="003A7817">
        <w:rPr>
          <w:rFonts w:ascii="Arial" w:hAnsi="Arial" w:cs="Arial"/>
          <w:sz w:val="22"/>
          <w:szCs w:val="22"/>
          <w:lang w:val="en-US"/>
        </w:rPr>
        <w:t xml:space="preserve"> </w:t>
      </w:r>
      <w:r>
        <w:rPr>
          <w:rFonts w:ascii="Arial" w:hAnsi="Arial" w:cs="Arial"/>
          <w:sz w:val="22"/>
          <w:szCs w:val="22"/>
          <w:lang w:val="en-US"/>
        </w:rPr>
        <w:t>a</w:t>
      </w:r>
      <w:r w:rsidRPr="00D86495">
        <w:rPr>
          <w:rFonts w:ascii="Arial" w:hAnsi="Arial" w:cs="Arial"/>
          <w:sz w:val="22"/>
          <w:szCs w:val="22"/>
          <w:lang w:val="en-US"/>
        </w:rPr>
        <w:t xml:space="preserve">dministration's response to </w:t>
      </w:r>
      <w:r>
        <w:rPr>
          <w:rFonts w:ascii="Arial" w:hAnsi="Arial" w:cs="Arial"/>
          <w:sz w:val="22"/>
          <w:szCs w:val="22"/>
          <w:lang w:val="en-US"/>
        </w:rPr>
        <w:t xml:space="preserve">an </w:t>
      </w:r>
      <w:r w:rsidRPr="00D86495">
        <w:rPr>
          <w:rFonts w:ascii="Arial" w:hAnsi="Arial" w:cs="Arial"/>
          <w:sz w:val="22"/>
          <w:szCs w:val="22"/>
          <w:lang w:val="en-US"/>
        </w:rPr>
        <w:t>emergency. CCG(NI) directs the response and commits resources across the Northern Ireland Civil Service</w:t>
      </w:r>
      <w:r w:rsidRPr="00D86495">
        <w:rPr>
          <w:rStyle w:val="FootnoteReference"/>
          <w:rFonts w:ascii="Arial" w:hAnsi="Arial" w:cs="Arial"/>
          <w:sz w:val="22"/>
          <w:szCs w:val="22"/>
          <w:lang w:val="en-US"/>
        </w:rPr>
        <w:footnoteReference w:id="22"/>
      </w:r>
      <w:r w:rsidRPr="00D86495">
        <w:rPr>
          <w:rFonts w:ascii="Arial" w:hAnsi="Arial" w:cs="Arial"/>
          <w:sz w:val="22"/>
          <w:szCs w:val="22"/>
          <w:lang w:val="en-US"/>
        </w:rPr>
        <w:t xml:space="preserve">. The Central Operations Room </w:t>
      </w:r>
      <w:r>
        <w:rPr>
          <w:rFonts w:ascii="Arial" w:hAnsi="Arial" w:cs="Arial"/>
          <w:sz w:val="22"/>
          <w:szCs w:val="22"/>
          <w:lang w:val="en-US"/>
        </w:rPr>
        <w:t xml:space="preserve">(‘COR’) </w:t>
      </w:r>
      <w:r w:rsidRPr="00D86495">
        <w:rPr>
          <w:rFonts w:ascii="Arial" w:hAnsi="Arial" w:cs="Arial"/>
          <w:sz w:val="22"/>
          <w:szCs w:val="22"/>
          <w:lang w:val="en-US"/>
        </w:rPr>
        <w:t>controls the flow of information into and out of CCG(NI). The COR function is discharged by Civil Contingencies Policy Branch (CCPB) staff, augmented as necessary with other staff from TEO</w:t>
      </w:r>
      <w:r w:rsidRPr="00D86495">
        <w:rPr>
          <w:rStyle w:val="FootnoteReference"/>
          <w:rFonts w:ascii="Arial" w:hAnsi="Arial" w:cs="Arial"/>
          <w:sz w:val="22"/>
          <w:szCs w:val="22"/>
          <w:lang w:val="en-US"/>
        </w:rPr>
        <w:footnoteReference w:id="23"/>
      </w:r>
      <w:r w:rsidRPr="00D86495">
        <w:rPr>
          <w:rFonts w:ascii="Arial" w:hAnsi="Arial" w:cs="Arial"/>
          <w:sz w:val="22"/>
          <w:szCs w:val="22"/>
          <w:lang w:val="en-US"/>
        </w:rPr>
        <w:t>.</w:t>
      </w:r>
    </w:p>
    <w:p w14:paraId="03E75219" w14:textId="77777777" w:rsidR="00CD1632" w:rsidRPr="00D86495" w:rsidRDefault="00CD1632" w:rsidP="00CD1632">
      <w:pPr>
        <w:pStyle w:val="ListParagraph"/>
        <w:spacing w:line="276" w:lineRule="auto"/>
        <w:jc w:val="both"/>
        <w:rPr>
          <w:rFonts w:ascii="Arial" w:hAnsi="Arial" w:cs="Arial"/>
          <w:sz w:val="22"/>
          <w:szCs w:val="22"/>
          <w:lang w:val="en-US"/>
        </w:rPr>
      </w:pPr>
    </w:p>
    <w:p w14:paraId="5C452A33"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In a letter from the Director of Population Group in CMOG, Liz Redmond</w:t>
      </w:r>
      <w:r w:rsidRPr="00135FA8">
        <w:rPr>
          <w:rFonts w:ascii="Arial" w:hAnsi="Arial" w:cs="Arial"/>
          <w:sz w:val="22"/>
          <w:szCs w:val="22"/>
          <w:lang w:val="en-US"/>
        </w:rPr>
        <w:t xml:space="preserve"> </w:t>
      </w:r>
      <w:r w:rsidRPr="00881DB6">
        <w:rPr>
          <w:rFonts w:ascii="Arial" w:hAnsi="Arial" w:cs="Arial"/>
          <w:sz w:val="22"/>
          <w:szCs w:val="22"/>
          <w:lang w:val="en-US"/>
        </w:rPr>
        <w:t>to Chris Stewart,</w:t>
      </w:r>
      <w:r w:rsidRPr="00D86495">
        <w:rPr>
          <w:rFonts w:ascii="Arial" w:hAnsi="Arial" w:cs="Arial"/>
          <w:sz w:val="22"/>
          <w:szCs w:val="22"/>
          <w:lang w:val="en-US"/>
        </w:rPr>
        <w:t xml:space="preserve"> </w:t>
      </w:r>
      <w:r>
        <w:rPr>
          <w:rFonts w:ascii="Arial" w:hAnsi="Arial" w:cs="Arial"/>
          <w:sz w:val="22"/>
          <w:szCs w:val="22"/>
          <w:lang w:val="en-US"/>
        </w:rPr>
        <w:t xml:space="preserve">dated </w:t>
      </w:r>
      <w:r w:rsidRPr="00D86495">
        <w:rPr>
          <w:rFonts w:ascii="Arial" w:hAnsi="Arial" w:cs="Arial"/>
          <w:sz w:val="22"/>
          <w:szCs w:val="22"/>
          <w:lang w:val="en-US"/>
        </w:rPr>
        <w:t>6 February 2020</w:t>
      </w:r>
      <w:r w:rsidRPr="00D86495">
        <w:rPr>
          <w:rStyle w:val="FootnoteReference"/>
          <w:rFonts w:ascii="Arial" w:hAnsi="Arial" w:cs="Arial"/>
          <w:sz w:val="22"/>
          <w:szCs w:val="22"/>
          <w:lang w:val="en-US"/>
        </w:rPr>
        <w:footnoteReference w:id="24"/>
      </w:r>
      <w:r w:rsidRPr="00D86495">
        <w:rPr>
          <w:rFonts w:ascii="Arial" w:hAnsi="Arial" w:cs="Arial"/>
          <w:sz w:val="22"/>
          <w:szCs w:val="22"/>
          <w:lang w:val="en-US"/>
        </w:rPr>
        <w:t xml:space="preserve"> DoH detailed in the first paragraph “</w:t>
      </w:r>
      <w:r w:rsidRPr="00D86495">
        <w:rPr>
          <w:rFonts w:ascii="Arial" w:hAnsi="Arial" w:cs="Arial"/>
          <w:i/>
          <w:iCs/>
          <w:sz w:val="22"/>
          <w:szCs w:val="22"/>
          <w:lang w:val="en-US"/>
        </w:rPr>
        <w:t xml:space="preserve">the need for the Executive Office (TEO) Civil Contingencies Branch (CCPB) </w:t>
      </w:r>
      <w:r w:rsidRPr="00D86495">
        <w:rPr>
          <w:rFonts w:ascii="Arial" w:hAnsi="Arial" w:cs="Arial"/>
          <w:b/>
          <w:bCs/>
          <w:i/>
          <w:iCs/>
          <w:sz w:val="22"/>
          <w:szCs w:val="22"/>
          <w:lang w:val="en-US"/>
        </w:rPr>
        <w:t>to urgently consider</w:t>
      </w:r>
      <w:r w:rsidRPr="00D86495">
        <w:rPr>
          <w:rFonts w:ascii="Arial" w:hAnsi="Arial" w:cs="Arial"/>
          <w:i/>
          <w:iCs/>
          <w:sz w:val="22"/>
          <w:szCs w:val="22"/>
          <w:lang w:val="en-US"/>
        </w:rPr>
        <w:t xml:space="preserve"> sector resilience in the face of</w:t>
      </w:r>
      <w:r w:rsidRPr="00D86495">
        <w:rPr>
          <w:rFonts w:ascii="Arial" w:hAnsi="Arial" w:cs="Arial"/>
          <w:sz w:val="22"/>
          <w:szCs w:val="22"/>
          <w:lang w:val="en-US"/>
        </w:rPr>
        <w:t>” the then understanding of a “</w:t>
      </w:r>
      <w:r w:rsidRPr="00D86495">
        <w:rPr>
          <w:rFonts w:ascii="Arial" w:hAnsi="Arial" w:cs="Arial"/>
          <w:i/>
          <w:iCs/>
          <w:sz w:val="22"/>
          <w:szCs w:val="22"/>
          <w:lang w:val="en-US"/>
        </w:rPr>
        <w:t>growing threat from novel coronavirus”</w:t>
      </w:r>
      <w:r w:rsidRPr="00D86495">
        <w:rPr>
          <w:rFonts w:ascii="Arial" w:hAnsi="Arial" w:cs="Arial"/>
          <w:sz w:val="22"/>
          <w:szCs w:val="22"/>
          <w:lang w:val="en-US"/>
        </w:rPr>
        <w:t xml:space="preserve"> and informed TEO that “</w:t>
      </w:r>
      <w:r w:rsidRPr="00D86495">
        <w:rPr>
          <w:rFonts w:ascii="Arial" w:hAnsi="Arial" w:cs="Arial"/>
          <w:i/>
          <w:iCs/>
          <w:sz w:val="22"/>
          <w:szCs w:val="22"/>
          <w:lang w:val="en-US"/>
        </w:rPr>
        <w:t xml:space="preserve">it is now appropriate to plan and prepare for the </w:t>
      </w:r>
      <w:r w:rsidRPr="00D86495">
        <w:rPr>
          <w:rFonts w:ascii="Arial" w:hAnsi="Arial" w:cs="Arial"/>
          <w:b/>
          <w:bCs/>
          <w:i/>
          <w:iCs/>
          <w:sz w:val="22"/>
          <w:szCs w:val="22"/>
          <w:lang w:val="en-US"/>
        </w:rPr>
        <w:t>reasonable worst case scenario (RWCS) of influenza pandemic moderate severity, without a vaccine.”</w:t>
      </w:r>
      <w:r w:rsidRPr="00D86495">
        <w:rPr>
          <w:rFonts w:ascii="Arial" w:hAnsi="Arial" w:cs="Arial"/>
          <w:b/>
          <w:bCs/>
          <w:sz w:val="22"/>
          <w:szCs w:val="22"/>
          <w:lang w:val="en-US"/>
        </w:rPr>
        <w:t xml:space="preserve"> </w:t>
      </w:r>
      <w:r w:rsidRPr="00D86495">
        <w:rPr>
          <w:rFonts w:ascii="Arial" w:hAnsi="Arial" w:cs="Arial"/>
          <w:sz w:val="22"/>
          <w:szCs w:val="22"/>
          <w:lang w:val="en-US"/>
        </w:rPr>
        <w:t>(emphasis in original)</w:t>
      </w:r>
      <w:r>
        <w:rPr>
          <w:rFonts w:ascii="Arial" w:hAnsi="Arial" w:cs="Arial"/>
          <w:sz w:val="22"/>
          <w:szCs w:val="22"/>
          <w:lang w:val="en-US"/>
        </w:rPr>
        <w:t xml:space="preserve">. </w:t>
      </w:r>
      <w:r w:rsidRPr="00D86495">
        <w:rPr>
          <w:rFonts w:ascii="Arial" w:hAnsi="Arial" w:cs="Arial"/>
          <w:i/>
          <w:iCs/>
          <w:sz w:val="22"/>
          <w:szCs w:val="22"/>
          <w:lang w:val="en-US"/>
        </w:rPr>
        <w:t xml:space="preserve"> </w:t>
      </w:r>
      <w:r w:rsidRPr="00D86495">
        <w:rPr>
          <w:rFonts w:ascii="Arial" w:hAnsi="Arial" w:cs="Arial"/>
          <w:sz w:val="22"/>
          <w:szCs w:val="22"/>
          <w:lang w:val="en-US"/>
        </w:rPr>
        <w:t>The letter referenced the learning from Exercise Cygnus and the work done to address th</w:t>
      </w:r>
      <w:r>
        <w:rPr>
          <w:rFonts w:ascii="Arial" w:hAnsi="Arial" w:cs="Arial"/>
          <w:sz w:val="22"/>
          <w:szCs w:val="22"/>
          <w:lang w:val="en-US"/>
        </w:rPr>
        <w:t>ose</w:t>
      </w:r>
      <w:r w:rsidRPr="00D86495">
        <w:rPr>
          <w:rFonts w:ascii="Arial" w:hAnsi="Arial" w:cs="Arial"/>
          <w:sz w:val="22"/>
          <w:szCs w:val="22"/>
          <w:lang w:val="en-US"/>
        </w:rPr>
        <w:t xml:space="preserve"> lessons. The letter confirmed that the UK Pandemic Flu Preparedness Board (PFRB) </w:t>
      </w:r>
      <w:proofErr w:type="spellStart"/>
      <w:r w:rsidRPr="00D86495">
        <w:rPr>
          <w:rFonts w:ascii="Arial" w:hAnsi="Arial" w:cs="Arial"/>
          <w:sz w:val="22"/>
          <w:szCs w:val="22"/>
          <w:lang w:val="en-US"/>
        </w:rPr>
        <w:t>programme</w:t>
      </w:r>
      <w:proofErr w:type="spellEnd"/>
      <w:r w:rsidRPr="00D86495">
        <w:rPr>
          <w:rFonts w:ascii="Arial" w:hAnsi="Arial" w:cs="Arial"/>
          <w:sz w:val="22"/>
          <w:szCs w:val="22"/>
          <w:lang w:val="en-US"/>
        </w:rPr>
        <w:t xml:space="preserve"> had five work streams: confirming that </w:t>
      </w:r>
      <w:proofErr w:type="gramStart"/>
      <w:r w:rsidRPr="00D86495">
        <w:rPr>
          <w:rFonts w:ascii="Arial" w:hAnsi="Arial" w:cs="Arial"/>
          <w:sz w:val="22"/>
          <w:szCs w:val="22"/>
          <w:lang w:val="en-US"/>
        </w:rPr>
        <w:t>DoH</w:t>
      </w:r>
      <w:proofErr w:type="gramEnd"/>
      <w:r w:rsidRPr="00D86495">
        <w:rPr>
          <w:rFonts w:ascii="Arial" w:hAnsi="Arial" w:cs="Arial"/>
          <w:sz w:val="22"/>
          <w:szCs w:val="22"/>
          <w:lang w:val="en-US"/>
        </w:rPr>
        <w:t xml:space="preserve"> had taken the lead on health and social care; </w:t>
      </w:r>
      <w:proofErr w:type="spellStart"/>
      <w:r w:rsidRPr="00D86495">
        <w:rPr>
          <w:rFonts w:ascii="Arial" w:hAnsi="Arial" w:cs="Arial"/>
          <w:sz w:val="22"/>
          <w:szCs w:val="22"/>
          <w:lang w:val="en-US"/>
        </w:rPr>
        <w:t>DoJ</w:t>
      </w:r>
      <w:proofErr w:type="spellEnd"/>
      <w:r w:rsidRPr="00D86495">
        <w:rPr>
          <w:rFonts w:ascii="Arial" w:hAnsi="Arial" w:cs="Arial"/>
          <w:sz w:val="22"/>
          <w:szCs w:val="22"/>
          <w:lang w:val="en-US"/>
        </w:rPr>
        <w:t xml:space="preserve"> was leading on excess deaths; and TEO </w:t>
      </w:r>
      <w:r>
        <w:rPr>
          <w:rFonts w:ascii="Arial" w:hAnsi="Arial" w:cs="Arial"/>
          <w:sz w:val="22"/>
          <w:szCs w:val="22"/>
          <w:lang w:val="en-US"/>
        </w:rPr>
        <w:t xml:space="preserve">was </w:t>
      </w:r>
      <w:r w:rsidRPr="00D86495">
        <w:rPr>
          <w:rFonts w:ascii="Arial" w:hAnsi="Arial" w:cs="Arial"/>
          <w:sz w:val="22"/>
          <w:szCs w:val="22"/>
          <w:lang w:val="en-US"/>
        </w:rPr>
        <w:t xml:space="preserve">leading on sector resilience. The correspondence did provide the view that </w:t>
      </w:r>
      <w:r>
        <w:rPr>
          <w:rFonts w:ascii="Arial" w:hAnsi="Arial" w:cs="Arial"/>
          <w:sz w:val="22"/>
          <w:szCs w:val="22"/>
          <w:lang w:val="en-US"/>
        </w:rPr>
        <w:t xml:space="preserve">from DoH’s perspective </w:t>
      </w:r>
      <w:r w:rsidRPr="00D86495">
        <w:rPr>
          <w:rFonts w:ascii="Arial" w:hAnsi="Arial" w:cs="Arial"/>
          <w:sz w:val="22"/>
          <w:szCs w:val="22"/>
          <w:lang w:val="en-US"/>
        </w:rPr>
        <w:t xml:space="preserve">it was not </w:t>
      </w:r>
      <w:r>
        <w:rPr>
          <w:rFonts w:ascii="Arial" w:hAnsi="Arial" w:cs="Arial"/>
          <w:sz w:val="22"/>
          <w:szCs w:val="22"/>
          <w:lang w:val="en-US"/>
        </w:rPr>
        <w:t xml:space="preserve">yet </w:t>
      </w:r>
      <w:r w:rsidRPr="00D86495">
        <w:rPr>
          <w:rFonts w:ascii="Arial" w:hAnsi="Arial" w:cs="Arial"/>
          <w:sz w:val="22"/>
          <w:szCs w:val="22"/>
          <w:lang w:val="en-US"/>
        </w:rPr>
        <w:t>necessary to activate NICCMA at that point</w:t>
      </w:r>
      <w:r>
        <w:rPr>
          <w:rFonts w:ascii="Arial" w:hAnsi="Arial" w:cs="Arial"/>
          <w:sz w:val="22"/>
          <w:szCs w:val="22"/>
          <w:lang w:val="en-US"/>
        </w:rPr>
        <w:t>.  Against that, it</w:t>
      </w:r>
      <w:r w:rsidRPr="00D86495">
        <w:rPr>
          <w:rFonts w:ascii="Arial" w:hAnsi="Arial" w:cs="Arial"/>
          <w:sz w:val="22"/>
          <w:szCs w:val="22"/>
          <w:lang w:val="en-US"/>
        </w:rPr>
        <w:t xml:space="preserve"> confirmed that </w:t>
      </w:r>
      <w:proofErr w:type="gramStart"/>
      <w:r w:rsidRPr="00D86495">
        <w:rPr>
          <w:rFonts w:ascii="Arial" w:hAnsi="Arial" w:cs="Arial"/>
          <w:sz w:val="22"/>
          <w:szCs w:val="22"/>
          <w:lang w:val="en-US"/>
        </w:rPr>
        <w:t>DoH</w:t>
      </w:r>
      <w:proofErr w:type="gramEnd"/>
      <w:r w:rsidRPr="00D86495">
        <w:rPr>
          <w:rFonts w:ascii="Arial" w:hAnsi="Arial" w:cs="Arial"/>
          <w:sz w:val="22"/>
          <w:szCs w:val="22"/>
          <w:lang w:val="en-US"/>
        </w:rPr>
        <w:t xml:space="preserve"> had activated Health Gold</w:t>
      </w:r>
      <w:r w:rsidRPr="00D86495">
        <w:rPr>
          <w:rStyle w:val="FootnoteReference"/>
          <w:rFonts w:ascii="Arial" w:hAnsi="Arial" w:cs="Arial"/>
          <w:sz w:val="22"/>
          <w:szCs w:val="22"/>
          <w:lang w:val="en-US"/>
        </w:rPr>
        <w:footnoteReference w:id="25"/>
      </w:r>
      <w:r w:rsidRPr="00D86495">
        <w:rPr>
          <w:rFonts w:ascii="Arial" w:hAnsi="Arial" w:cs="Arial"/>
          <w:sz w:val="22"/>
          <w:szCs w:val="22"/>
          <w:lang w:val="en-US"/>
        </w:rPr>
        <w:t xml:space="preserve"> and impressed upon TEO that the situation was rapidly evolving and that it was highly likely that there would be a significant increase in the demand for information, guidance and co-ordination in the coming weeks. The letter also advocated for the “</w:t>
      </w:r>
      <w:r w:rsidRPr="00D86495">
        <w:rPr>
          <w:rFonts w:ascii="Arial" w:hAnsi="Arial" w:cs="Arial"/>
          <w:i/>
          <w:iCs/>
          <w:sz w:val="22"/>
          <w:szCs w:val="22"/>
          <w:lang w:val="en-US"/>
        </w:rPr>
        <w:t>convening of a multi-agency meeting in order to inform an assessment of sector resilience preparedness, capacity and capabilities across NI departments and agencies and emergency services.</w:t>
      </w:r>
      <w:r w:rsidRPr="00D86495">
        <w:rPr>
          <w:rFonts w:ascii="Arial" w:hAnsi="Arial" w:cs="Arial"/>
          <w:sz w:val="22"/>
          <w:szCs w:val="22"/>
          <w:lang w:val="en-US"/>
        </w:rPr>
        <w:t xml:space="preserve">” DoH has no power to direct another </w:t>
      </w:r>
      <w:r>
        <w:rPr>
          <w:rFonts w:ascii="Arial" w:hAnsi="Arial" w:cs="Arial"/>
          <w:sz w:val="22"/>
          <w:szCs w:val="22"/>
          <w:lang w:val="en-US"/>
        </w:rPr>
        <w:t>d</w:t>
      </w:r>
      <w:r w:rsidRPr="00D86495">
        <w:rPr>
          <w:rFonts w:ascii="Arial" w:hAnsi="Arial" w:cs="Arial"/>
          <w:sz w:val="22"/>
          <w:szCs w:val="22"/>
          <w:lang w:val="en-US"/>
        </w:rPr>
        <w:t xml:space="preserve">epartment </w:t>
      </w:r>
      <w:r>
        <w:rPr>
          <w:rFonts w:ascii="Arial" w:hAnsi="Arial" w:cs="Arial"/>
          <w:sz w:val="22"/>
          <w:szCs w:val="22"/>
          <w:lang w:val="en-US"/>
        </w:rPr>
        <w:t xml:space="preserve">what to do, </w:t>
      </w:r>
      <w:r w:rsidRPr="00D86495">
        <w:rPr>
          <w:rFonts w:ascii="Arial" w:hAnsi="Arial" w:cs="Arial"/>
          <w:sz w:val="22"/>
          <w:szCs w:val="22"/>
          <w:lang w:val="en-US"/>
        </w:rPr>
        <w:t xml:space="preserve">however </w:t>
      </w:r>
      <w:r>
        <w:rPr>
          <w:rFonts w:ascii="Arial" w:hAnsi="Arial" w:cs="Arial"/>
          <w:sz w:val="22"/>
          <w:szCs w:val="22"/>
          <w:lang w:val="en-US"/>
        </w:rPr>
        <w:t>it did</w:t>
      </w:r>
      <w:r w:rsidRPr="00D86495">
        <w:rPr>
          <w:rFonts w:ascii="Arial" w:hAnsi="Arial" w:cs="Arial"/>
          <w:sz w:val="22"/>
          <w:szCs w:val="22"/>
          <w:lang w:val="en-US"/>
        </w:rPr>
        <w:t xml:space="preserve"> clearly signal the urgency of the situation</w:t>
      </w:r>
      <w:r>
        <w:rPr>
          <w:rFonts w:ascii="Arial" w:hAnsi="Arial" w:cs="Arial"/>
          <w:sz w:val="22"/>
          <w:szCs w:val="22"/>
          <w:lang w:val="en-US"/>
        </w:rPr>
        <w:t xml:space="preserve"> to TEO in this correspondence</w:t>
      </w:r>
      <w:r w:rsidRPr="00D86495">
        <w:rPr>
          <w:rFonts w:ascii="Arial" w:hAnsi="Arial" w:cs="Arial"/>
          <w:sz w:val="22"/>
          <w:szCs w:val="22"/>
          <w:lang w:val="en-US"/>
        </w:rPr>
        <w:t>.</w:t>
      </w:r>
    </w:p>
    <w:p w14:paraId="6470CB4E" w14:textId="77777777" w:rsidR="00CD1632" w:rsidRPr="00D86495" w:rsidRDefault="00CD1632" w:rsidP="00CD1632">
      <w:pPr>
        <w:pStyle w:val="ListParagraph"/>
        <w:spacing w:line="276" w:lineRule="auto"/>
        <w:jc w:val="both"/>
        <w:rPr>
          <w:rFonts w:ascii="Arial" w:hAnsi="Arial" w:cs="Arial"/>
          <w:color w:val="000000" w:themeColor="text1"/>
          <w:sz w:val="22"/>
          <w:szCs w:val="22"/>
          <w:lang w:val="en-US"/>
        </w:rPr>
      </w:pPr>
    </w:p>
    <w:p w14:paraId="563454F0"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color w:val="000000" w:themeColor="text1"/>
          <w:sz w:val="22"/>
          <w:szCs w:val="22"/>
          <w:lang w:val="en-US"/>
        </w:rPr>
        <w:t xml:space="preserve">It is submitted that any straightforward reading of this letter would indicate that there was a requirement to keep the matter under close consideration, and that particular focus would </w:t>
      </w:r>
      <w:r>
        <w:rPr>
          <w:rFonts w:ascii="Arial" w:hAnsi="Arial" w:cs="Arial"/>
          <w:color w:val="000000" w:themeColor="text1"/>
          <w:sz w:val="22"/>
          <w:szCs w:val="22"/>
          <w:lang w:val="en-US"/>
        </w:rPr>
        <w:t>have</w:t>
      </w:r>
      <w:r w:rsidRPr="00D86495">
        <w:rPr>
          <w:rFonts w:ascii="Arial" w:hAnsi="Arial" w:cs="Arial"/>
          <w:color w:val="000000" w:themeColor="text1"/>
          <w:sz w:val="22"/>
          <w:szCs w:val="22"/>
          <w:lang w:val="en-US"/>
        </w:rPr>
        <w:t xml:space="preserve"> to be brought to bear on multi-agency cooperation and cross sectoral preparedness</w:t>
      </w:r>
      <w:r>
        <w:rPr>
          <w:rFonts w:ascii="Arial" w:hAnsi="Arial" w:cs="Arial"/>
          <w:color w:val="000000" w:themeColor="text1"/>
          <w:sz w:val="22"/>
          <w:szCs w:val="22"/>
          <w:lang w:val="en-US"/>
        </w:rPr>
        <w:t xml:space="preserve">, which would entail </w:t>
      </w:r>
      <w:r w:rsidRPr="00D86495">
        <w:rPr>
          <w:rFonts w:ascii="Arial" w:hAnsi="Arial" w:cs="Arial"/>
          <w:color w:val="000000" w:themeColor="text1"/>
          <w:sz w:val="22"/>
          <w:szCs w:val="22"/>
          <w:lang w:val="en-US"/>
        </w:rPr>
        <w:t>keep</w:t>
      </w:r>
      <w:r>
        <w:rPr>
          <w:rFonts w:ascii="Arial" w:hAnsi="Arial" w:cs="Arial"/>
          <w:color w:val="000000" w:themeColor="text1"/>
          <w:sz w:val="22"/>
          <w:szCs w:val="22"/>
          <w:lang w:val="en-US"/>
        </w:rPr>
        <w:t>ing</w:t>
      </w:r>
      <w:r w:rsidRPr="00D86495">
        <w:rPr>
          <w:rFonts w:ascii="Arial" w:hAnsi="Arial" w:cs="Arial"/>
          <w:color w:val="000000" w:themeColor="text1"/>
          <w:sz w:val="22"/>
          <w:szCs w:val="22"/>
          <w:lang w:val="en-US"/>
        </w:rPr>
        <w:t xml:space="preserve"> the decision to activate NICCMA under active review.  In the period leading up to Covid-19, DoH was the </w:t>
      </w:r>
      <w:r>
        <w:rPr>
          <w:rFonts w:ascii="Arial" w:hAnsi="Arial" w:cs="Arial"/>
          <w:color w:val="000000" w:themeColor="text1"/>
          <w:sz w:val="22"/>
          <w:szCs w:val="22"/>
          <w:lang w:val="en-US"/>
        </w:rPr>
        <w:t xml:space="preserve">LGD </w:t>
      </w:r>
      <w:r w:rsidRPr="00D86495">
        <w:rPr>
          <w:rFonts w:ascii="Arial" w:hAnsi="Arial" w:cs="Arial"/>
          <w:color w:val="000000" w:themeColor="text1"/>
          <w:sz w:val="22"/>
          <w:szCs w:val="22"/>
          <w:lang w:val="en-US"/>
        </w:rPr>
        <w:t xml:space="preserve">for preparing for the health </w:t>
      </w:r>
      <w:r>
        <w:rPr>
          <w:rFonts w:ascii="Arial" w:hAnsi="Arial" w:cs="Arial"/>
          <w:color w:val="000000" w:themeColor="text1"/>
          <w:sz w:val="22"/>
          <w:szCs w:val="22"/>
          <w:lang w:val="en-US"/>
        </w:rPr>
        <w:t>consequences</w:t>
      </w:r>
      <w:r w:rsidRPr="00D86495">
        <w:rPr>
          <w:rFonts w:ascii="Arial" w:hAnsi="Arial" w:cs="Arial"/>
          <w:color w:val="000000" w:themeColor="text1"/>
          <w:sz w:val="22"/>
          <w:szCs w:val="22"/>
          <w:lang w:val="en-US"/>
        </w:rPr>
        <w:t xml:space="preserve"> of pandemic flu. The responsibility for wider, sector resilience sat with TEO under its Civil Contingencies responsibilities and the 'Sector Resilience' workstream of the Pan Flu </w:t>
      </w:r>
      <w:proofErr w:type="gramStart"/>
      <w:r w:rsidRPr="00D86495">
        <w:rPr>
          <w:rFonts w:ascii="Arial" w:hAnsi="Arial" w:cs="Arial"/>
          <w:color w:val="000000" w:themeColor="text1"/>
          <w:sz w:val="22"/>
          <w:szCs w:val="22"/>
          <w:lang w:val="en-US"/>
        </w:rPr>
        <w:t>Sub Group</w:t>
      </w:r>
      <w:proofErr w:type="gramEnd"/>
      <w:r w:rsidRPr="00D86495">
        <w:rPr>
          <w:rFonts w:ascii="Arial" w:hAnsi="Arial" w:cs="Arial"/>
          <w:color w:val="000000" w:themeColor="text1"/>
          <w:sz w:val="22"/>
          <w:szCs w:val="22"/>
          <w:lang w:val="en-US"/>
        </w:rPr>
        <w:t xml:space="preserve">. It </w:t>
      </w:r>
      <w:r>
        <w:rPr>
          <w:rFonts w:ascii="Arial" w:hAnsi="Arial" w:cs="Arial"/>
          <w:color w:val="000000" w:themeColor="text1"/>
          <w:sz w:val="22"/>
          <w:szCs w:val="22"/>
          <w:lang w:val="en-US"/>
        </w:rPr>
        <w:t>was</w:t>
      </w:r>
      <w:r w:rsidRPr="00D86495">
        <w:rPr>
          <w:rFonts w:ascii="Arial" w:hAnsi="Arial" w:cs="Arial"/>
          <w:color w:val="000000" w:themeColor="text1"/>
          <w:sz w:val="22"/>
          <w:szCs w:val="22"/>
          <w:lang w:val="en-US"/>
        </w:rPr>
        <w:t xml:space="preserve"> therefore the responsibility of TEO to ensure that any </w:t>
      </w:r>
      <w:r>
        <w:rPr>
          <w:rFonts w:ascii="Arial" w:hAnsi="Arial" w:cs="Arial"/>
          <w:color w:val="000000" w:themeColor="text1"/>
          <w:sz w:val="22"/>
          <w:szCs w:val="22"/>
          <w:lang w:val="en-US"/>
        </w:rPr>
        <w:t>d</w:t>
      </w:r>
      <w:r w:rsidRPr="00D86495">
        <w:rPr>
          <w:rFonts w:ascii="Arial" w:hAnsi="Arial" w:cs="Arial"/>
          <w:color w:val="000000" w:themeColor="text1"/>
          <w:sz w:val="22"/>
          <w:szCs w:val="22"/>
          <w:lang w:val="en-US"/>
        </w:rPr>
        <w:t xml:space="preserve">epartment that should have had a pandemic flu plan in place, had one. DoH </w:t>
      </w:r>
      <w:r>
        <w:rPr>
          <w:rFonts w:ascii="Arial" w:hAnsi="Arial" w:cs="Arial"/>
          <w:color w:val="000000" w:themeColor="text1"/>
          <w:sz w:val="22"/>
          <w:szCs w:val="22"/>
          <w:lang w:val="en-US"/>
        </w:rPr>
        <w:t xml:space="preserve">did </w:t>
      </w:r>
      <w:r w:rsidRPr="00D86495">
        <w:rPr>
          <w:rFonts w:ascii="Arial" w:hAnsi="Arial" w:cs="Arial"/>
          <w:color w:val="000000" w:themeColor="text1"/>
          <w:sz w:val="22"/>
          <w:szCs w:val="22"/>
          <w:lang w:val="en-US"/>
        </w:rPr>
        <w:t>not have the detailed knowledge of the state of plans in every other government department or public body in Northern Ireland</w:t>
      </w:r>
      <w:r>
        <w:rPr>
          <w:rFonts w:ascii="Arial" w:hAnsi="Arial" w:cs="Arial"/>
          <w:color w:val="000000" w:themeColor="text1"/>
          <w:sz w:val="22"/>
          <w:szCs w:val="22"/>
          <w:lang w:val="en-US"/>
        </w:rPr>
        <w:t>:</w:t>
      </w:r>
      <w:r w:rsidRPr="00D86495">
        <w:rPr>
          <w:rFonts w:ascii="Arial" w:hAnsi="Arial" w:cs="Arial"/>
          <w:color w:val="000000" w:themeColor="text1"/>
          <w:sz w:val="22"/>
          <w:szCs w:val="22"/>
          <w:lang w:val="en-US"/>
        </w:rPr>
        <w:t xml:space="preserve"> this has never been DoH</w:t>
      </w:r>
      <w:r>
        <w:rPr>
          <w:rFonts w:ascii="Arial" w:hAnsi="Arial" w:cs="Arial"/>
          <w:color w:val="000000" w:themeColor="text1"/>
          <w:sz w:val="22"/>
          <w:szCs w:val="22"/>
          <w:lang w:val="en-US"/>
        </w:rPr>
        <w:t>’s responsibility,</w:t>
      </w:r>
      <w:r w:rsidRPr="00D86495">
        <w:rPr>
          <w:rFonts w:ascii="Arial" w:hAnsi="Arial" w:cs="Arial"/>
          <w:color w:val="000000" w:themeColor="text1"/>
          <w:sz w:val="22"/>
          <w:szCs w:val="22"/>
          <w:lang w:val="en-US"/>
        </w:rPr>
        <w:t xml:space="preserve"> and it would not be appropriate for DoH to take on such a role when </w:t>
      </w:r>
      <w:r>
        <w:rPr>
          <w:rFonts w:ascii="Arial" w:hAnsi="Arial" w:cs="Arial"/>
          <w:color w:val="000000" w:themeColor="text1"/>
          <w:sz w:val="22"/>
          <w:szCs w:val="22"/>
          <w:lang w:val="en-US"/>
        </w:rPr>
        <w:t>it had to focus on</w:t>
      </w:r>
      <w:r w:rsidRPr="00D86495">
        <w:rPr>
          <w:rFonts w:ascii="Arial" w:hAnsi="Arial" w:cs="Arial"/>
          <w:color w:val="000000" w:themeColor="text1"/>
          <w:sz w:val="22"/>
          <w:szCs w:val="22"/>
          <w:lang w:val="en-US"/>
        </w:rPr>
        <w:t xml:space="preserve"> significant health and social care sector planning and preparedness. </w:t>
      </w:r>
    </w:p>
    <w:p w14:paraId="30AB60B7" w14:textId="77777777" w:rsidR="00CD1632" w:rsidRPr="00D86495" w:rsidRDefault="00CD1632" w:rsidP="00CD1632">
      <w:pPr>
        <w:pStyle w:val="ListParagraph"/>
        <w:spacing w:line="276" w:lineRule="auto"/>
        <w:jc w:val="both"/>
        <w:rPr>
          <w:rFonts w:ascii="Arial" w:hAnsi="Arial" w:cs="Arial"/>
          <w:sz w:val="22"/>
          <w:szCs w:val="22"/>
          <w:lang w:val="en-US"/>
        </w:rPr>
      </w:pPr>
    </w:p>
    <w:p w14:paraId="39AA2B0A"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In the course of the Inquiry hearing, t</w:t>
      </w:r>
      <w:r w:rsidRPr="006D2553">
        <w:rPr>
          <w:rFonts w:ascii="Arial" w:hAnsi="Arial" w:cs="Arial"/>
          <w:sz w:val="22"/>
          <w:szCs w:val="22"/>
          <w:lang w:val="en-US"/>
        </w:rPr>
        <w:t xml:space="preserve">he </w:t>
      </w:r>
      <w:r>
        <w:rPr>
          <w:rFonts w:ascii="Arial" w:hAnsi="Arial" w:cs="Arial"/>
          <w:sz w:val="22"/>
          <w:szCs w:val="22"/>
          <w:lang w:val="en-US"/>
        </w:rPr>
        <w:t xml:space="preserve">CMO’s </w:t>
      </w:r>
      <w:r w:rsidRPr="006D2553">
        <w:rPr>
          <w:rFonts w:ascii="Arial" w:hAnsi="Arial" w:cs="Arial"/>
          <w:sz w:val="22"/>
          <w:szCs w:val="22"/>
          <w:lang w:val="en-US"/>
        </w:rPr>
        <w:t xml:space="preserve">letter of 6 </w:t>
      </w:r>
      <w:r>
        <w:rPr>
          <w:rFonts w:ascii="Arial" w:hAnsi="Arial" w:cs="Arial"/>
          <w:sz w:val="22"/>
          <w:szCs w:val="22"/>
          <w:lang w:val="en-US"/>
        </w:rPr>
        <w:t>February</w:t>
      </w:r>
      <w:r w:rsidRPr="006D2553">
        <w:rPr>
          <w:rFonts w:ascii="Arial" w:hAnsi="Arial" w:cs="Arial"/>
          <w:sz w:val="22"/>
          <w:szCs w:val="22"/>
          <w:lang w:val="en-US"/>
        </w:rPr>
        <w:t xml:space="preserve"> 2020 </w:t>
      </w:r>
      <w:r>
        <w:rPr>
          <w:rFonts w:ascii="Arial" w:hAnsi="Arial" w:cs="Arial"/>
          <w:sz w:val="22"/>
          <w:szCs w:val="22"/>
          <w:lang w:val="en-US"/>
        </w:rPr>
        <w:t xml:space="preserve">was </w:t>
      </w:r>
      <w:r w:rsidRPr="006D2553">
        <w:rPr>
          <w:rFonts w:ascii="Arial" w:hAnsi="Arial" w:cs="Arial"/>
          <w:sz w:val="22"/>
          <w:szCs w:val="22"/>
          <w:lang w:val="en-US"/>
        </w:rPr>
        <w:t xml:space="preserve">considered in order to evaluate whether </w:t>
      </w:r>
      <w:proofErr w:type="gramStart"/>
      <w:r>
        <w:rPr>
          <w:rFonts w:ascii="Arial" w:hAnsi="Arial" w:cs="Arial"/>
          <w:sz w:val="22"/>
          <w:szCs w:val="22"/>
          <w:lang w:val="en-US"/>
        </w:rPr>
        <w:t>DoH</w:t>
      </w:r>
      <w:proofErr w:type="gramEnd"/>
      <w:r>
        <w:rPr>
          <w:rFonts w:ascii="Arial" w:hAnsi="Arial" w:cs="Arial"/>
          <w:sz w:val="22"/>
          <w:szCs w:val="22"/>
          <w:lang w:val="en-US"/>
        </w:rPr>
        <w:t xml:space="preserve"> </w:t>
      </w:r>
      <w:r w:rsidRPr="006D2553">
        <w:rPr>
          <w:rFonts w:ascii="Arial" w:hAnsi="Arial" w:cs="Arial"/>
          <w:sz w:val="22"/>
          <w:szCs w:val="22"/>
          <w:lang w:val="en-US"/>
        </w:rPr>
        <w:t xml:space="preserve">was deficient in the manner in which it sounded the alarm for other parties. </w:t>
      </w:r>
      <w:r w:rsidRPr="00D86495">
        <w:rPr>
          <w:rFonts w:ascii="Arial" w:hAnsi="Arial" w:cs="Arial"/>
          <w:sz w:val="22"/>
          <w:szCs w:val="22"/>
          <w:lang w:val="en-US"/>
        </w:rPr>
        <w:t xml:space="preserve">During the course of the Inquiry hearing, considerable emphasis was placed on paragraphs 20 and 21.  That letter was </w:t>
      </w:r>
      <w:proofErr w:type="spellStart"/>
      <w:r w:rsidRPr="00D86495">
        <w:rPr>
          <w:rFonts w:ascii="Arial" w:hAnsi="Arial" w:cs="Arial"/>
          <w:sz w:val="22"/>
          <w:szCs w:val="22"/>
          <w:lang w:val="en-US"/>
        </w:rPr>
        <w:t>criticised</w:t>
      </w:r>
      <w:proofErr w:type="spellEnd"/>
      <w:r w:rsidRPr="00D86495">
        <w:rPr>
          <w:rFonts w:ascii="Arial" w:hAnsi="Arial" w:cs="Arial"/>
          <w:sz w:val="22"/>
          <w:szCs w:val="22"/>
          <w:lang w:val="en-US"/>
        </w:rPr>
        <w:t xml:space="preserve"> on the basis that it did not deal with RWCS or planning assumptions, nor did it make reference to elderly people and the more vulnerable.  It is contended that focus on paragraphs 20 and 21 alone ignores the sense of urgency conveyed by the first two paragraphs.  Moreover, it should be noted that this letter was distributed through the CCG</w:t>
      </w:r>
      <w:r>
        <w:rPr>
          <w:rFonts w:ascii="Arial" w:hAnsi="Arial" w:cs="Arial"/>
          <w:sz w:val="22"/>
          <w:szCs w:val="22"/>
          <w:lang w:val="en-US"/>
        </w:rPr>
        <w:t>(</w:t>
      </w:r>
      <w:r w:rsidRPr="00D86495">
        <w:rPr>
          <w:rFonts w:ascii="Arial" w:hAnsi="Arial" w:cs="Arial"/>
          <w:sz w:val="22"/>
          <w:szCs w:val="22"/>
          <w:lang w:val="en-US"/>
        </w:rPr>
        <w:t>NI</w:t>
      </w:r>
      <w:r>
        <w:rPr>
          <w:rFonts w:ascii="Arial" w:hAnsi="Arial" w:cs="Arial"/>
          <w:sz w:val="22"/>
          <w:szCs w:val="22"/>
          <w:lang w:val="en-US"/>
        </w:rPr>
        <w:t>)</w:t>
      </w:r>
      <w:r w:rsidRPr="00D86495">
        <w:rPr>
          <w:rFonts w:ascii="Arial" w:hAnsi="Arial" w:cs="Arial"/>
          <w:sz w:val="22"/>
          <w:szCs w:val="22"/>
          <w:lang w:val="en-US"/>
        </w:rPr>
        <w:t>, the membership of which is drawn from all departments.  The CCG</w:t>
      </w:r>
      <w:r>
        <w:rPr>
          <w:rFonts w:ascii="Arial" w:hAnsi="Arial" w:cs="Arial"/>
          <w:sz w:val="22"/>
          <w:szCs w:val="22"/>
          <w:lang w:val="en-US"/>
        </w:rPr>
        <w:t>(</w:t>
      </w:r>
      <w:r w:rsidRPr="00D86495">
        <w:rPr>
          <w:rFonts w:ascii="Arial" w:hAnsi="Arial" w:cs="Arial"/>
          <w:sz w:val="22"/>
          <w:szCs w:val="22"/>
          <w:lang w:val="en-US"/>
        </w:rPr>
        <w:t>NI</w:t>
      </w:r>
      <w:r>
        <w:rPr>
          <w:rFonts w:ascii="Arial" w:hAnsi="Arial" w:cs="Arial"/>
          <w:sz w:val="22"/>
          <w:szCs w:val="22"/>
          <w:lang w:val="en-US"/>
        </w:rPr>
        <w:t>)</w:t>
      </w:r>
      <w:r w:rsidRPr="00D86495">
        <w:rPr>
          <w:rFonts w:ascii="Arial" w:hAnsi="Arial" w:cs="Arial"/>
          <w:sz w:val="22"/>
          <w:szCs w:val="22"/>
          <w:lang w:val="en-US"/>
        </w:rPr>
        <w:t xml:space="preserve"> met a number of times every year and members from each department had specific training, knowledge and understanding that a communication through the CCG</w:t>
      </w:r>
      <w:r>
        <w:rPr>
          <w:rFonts w:ascii="Arial" w:hAnsi="Arial" w:cs="Arial"/>
          <w:sz w:val="22"/>
          <w:szCs w:val="22"/>
          <w:lang w:val="en-US"/>
        </w:rPr>
        <w:t>(</w:t>
      </w:r>
      <w:r w:rsidRPr="00D86495">
        <w:rPr>
          <w:rFonts w:ascii="Arial" w:hAnsi="Arial" w:cs="Arial"/>
          <w:sz w:val="22"/>
          <w:szCs w:val="22"/>
          <w:lang w:val="en-US"/>
        </w:rPr>
        <w:t>NI</w:t>
      </w:r>
      <w:r>
        <w:rPr>
          <w:rFonts w:ascii="Arial" w:hAnsi="Arial" w:cs="Arial"/>
          <w:sz w:val="22"/>
          <w:szCs w:val="22"/>
          <w:lang w:val="en-US"/>
        </w:rPr>
        <w:t>)</w:t>
      </w:r>
      <w:r w:rsidRPr="00D86495">
        <w:rPr>
          <w:rFonts w:ascii="Arial" w:hAnsi="Arial" w:cs="Arial"/>
          <w:sz w:val="22"/>
          <w:szCs w:val="22"/>
          <w:lang w:val="en-US"/>
        </w:rPr>
        <w:t xml:space="preserve"> was in itself </w:t>
      </w:r>
      <w:r>
        <w:rPr>
          <w:rFonts w:ascii="Arial" w:hAnsi="Arial" w:cs="Arial"/>
          <w:sz w:val="22"/>
          <w:szCs w:val="22"/>
          <w:lang w:val="en-US"/>
        </w:rPr>
        <w:t>evidence of</w:t>
      </w:r>
      <w:r w:rsidRPr="00D86495">
        <w:rPr>
          <w:rFonts w:ascii="Arial" w:hAnsi="Arial" w:cs="Arial"/>
          <w:sz w:val="22"/>
          <w:szCs w:val="22"/>
          <w:lang w:val="en-US"/>
        </w:rPr>
        <w:t xml:space="preserve"> </w:t>
      </w:r>
      <w:r>
        <w:rPr>
          <w:rFonts w:ascii="Arial" w:hAnsi="Arial" w:cs="Arial"/>
          <w:sz w:val="22"/>
          <w:szCs w:val="22"/>
          <w:lang w:val="en-US"/>
        </w:rPr>
        <w:t>‘</w:t>
      </w:r>
      <w:r w:rsidRPr="00D86495">
        <w:rPr>
          <w:rFonts w:ascii="Arial" w:hAnsi="Arial" w:cs="Arial"/>
          <w:sz w:val="22"/>
          <w:szCs w:val="22"/>
          <w:lang w:val="en-US"/>
        </w:rPr>
        <w:t>ramping up</w:t>
      </w:r>
      <w:r>
        <w:rPr>
          <w:rFonts w:ascii="Arial" w:hAnsi="Arial" w:cs="Arial"/>
          <w:sz w:val="22"/>
          <w:szCs w:val="22"/>
          <w:lang w:val="en-US"/>
        </w:rPr>
        <w:t>’</w:t>
      </w:r>
      <w:r w:rsidRPr="00D86495">
        <w:rPr>
          <w:rFonts w:ascii="Arial" w:hAnsi="Arial" w:cs="Arial"/>
          <w:sz w:val="22"/>
          <w:szCs w:val="22"/>
          <w:lang w:val="en-US"/>
        </w:rPr>
        <w:t xml:space="preserve">, and that, in itself should have sounded the alarm for those departments. </w:t>
      </w:r>
    </w:p>
    <w:p w14:paraId="50420150" w14:textId="77777777" w:rsidR="00CD1632" w:rsidRPr="00D86495" w:rsidRDefault="00CD1632" w:rsidP="00CD1632">
      <w:pPr>
        <w:pStyle w:val="ListParagraph"/>
        <w:spacing w:line="276" w:lineRule="auto"/>
        <w:jc w:val="both"/>
        <w:rPr>
          <w:rFonts w:ascii="Arial" w:hAnsi="Arial" w:cs="Arial"/>
          <w:sz w:val="22"/>
          <w:szCs w:val="22"/>
          <w:lang w:val="en-US"/>
        </w:rPr>
      </w:pPr>
    </w:p>
    <w:p w14:paraId="0F393C5F"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On 7 February 2020, the Permanent Secretary for DoH, Richard Pengelly, attended a Permanent Secretaries Stakeholder Group and provided an update on coronavirus to the departmental Permanent Secretaries</w:t>
      </w:r>
      <w:r w:rsidRPr="00D86495">
        <w:rPr>
          <w:rStyle w:val="FootnoteReference"/>
          <w:rFonts w:ascii="Arial" w:hAnsi="Arial" w:cs="Arial"/>
          <w:sz w:val="22"/>
          <w:szCs w:val="22"/>
          <w:lang w:val="en-US"/>
        </w:rPr>
        <w:footnoteReference w:id="26"/>
      </w:r>
      <w:r w:rsidRPr="00D86495">
        <w:rPr>
          <w:rFonts w:ascii="Arial" w:hAnsi="Arial" w:cs="Arial"/>
          <w:sz w:val="22"/>
          <w:szCs w:val="22"/>
          <w:lang w:val="en-US"/>
        </w:rPr>
        <w:t>. The update confirmed statistics for the global position</w:t>
      </w:r>
      <w:r>
        <w:rPr>
          <w:rFonts w:ascii="Arial" w:hAnsi="Arial" w:cs="Arial"/>
          <w:sz w:val="22"/>
          <w:szCs w:val="22"/>
          <w:lang w:val="en-US"/>
        </w:rPr>
        <w:t>;</w:t>
      </w:r>
      <w:r w:rsidRPr="00D86495">
        <w:rPr>
          <w:rFonts w:ascii="Arial" w:hAnsi="Arial" w:cs="Arial"/>
          <w:sz w:val="22"/>
          <w:szCs w:val="22"/>
          <w:lang w:val="en-US"/>
        </w:rPr>
        <w:t xml:space="preserve"> </w:t>
      </w:r>
      <w:r>
        <w:rPr>
          <w:rFonts w:ascii="Arial" w:hAnsi="Arial" w:cs="Arial"/>
          <w:sz w:val="22"/>
          <w:szCs w:val="22"/>
          <w:lang w:val="en-US"/>
        </w:rPr>
        <w:t>advised</w:t>
      </w:r>
      <w:r w:rsidRPr="00D86495">
        <w:rPr>
          <w:rFonts w:ascii="Arial" w:hAnsi="Arial" w:cs="Arial"/>
          <w:sz w:val="22"/>
          <w:szCs w:val="22"/>
          <w:lang w:val="en-US"/>
        </w:rPr>
        <w:t xml:space="preserve"> that </w:t>
      </w:r>
      <w:proofErr w:type="gramStart"/>
      <w:r w:rsidRPr="00D86495">
        <w:rPr>
          <w:rFonts w:ascii="Arial" w:hAnsi="Arial" w:cs="Arial"/>
          <w:sz w:val="22"/>
          <w:szCs w:val="22"/>
          <w:lang w:val="en-US"/>
        </w:rPr>
        <w:t>DoH</w:t>
      </w:r>
      <w:proofErr w:type="gramEnd"/>
      <w:r w:rsidRPr="00D86495">
        <w:rPr>
          <w:rFonts w:ascii="Arial" w:hAnsi="Arial" w:cs="Arial"/>
          <w:sz w:val="22"/>
          <w:szCs w:val="22"/>
          <w:lang w:val="en-US"/>
        </w:rPr>
        <w:t xml:space="preserve"> had activated ‘Health Gold’ on 27 January 2020</w:t>
      </w:r>
      <w:r>
        <w:rPr>
          <w:rFonts w:ascii="Arial" w:hAnsi="Arial" w:cs="Arial"/>
          <w:sz w:val="22"/>
          <w:szCs w:val="22"/>
          <w:lang w:val="en-US"/>
        </w:rPr>
        <w:t>;</w:t>
      </w:r>
      <w:r w:rsidRPr="00D86495">
        <w:rPr>
          <w:rFonts w:ascii="Arial" w:hAnsi="Arial" w:cs="Arial"/>
          <w:sz w:val="22"/>
          <w:szCs w:val="22"/>
          <w:lang w:val="en-US"/>
        </w:rPr>
        <w:t xml:space="preserve"> and confirmed that DoH was planning for the reasonable worst case scenario given the potential health and social consequences of a major epidemic. The update stated:-</w:t>
      </w:r>
    </w:p>
    <w:p w14:paraId="21CDC7FA" w14:textId="77777777" w:rsidR="00CD1632" w:rsidRPr="00D86495" w:rsidRDefault="00CD1632" w:rsidP="00CD1632">
      <w:pPr>
        <w:pStyle w:val="ListParagraph"/>
        <w:spacing w:line="276" w:lineRule="auto"/>
        <w:ind w:left="1440"/>
        <w:jc w:val="both"/>
        <w:rPr>
          <w:rFonts w:ascii="Arial" w:hAnsi="Arial" w:cs="Arial"/>
          <w:sz w:val="22"/>
          <w:szCs w:val="22"/>
          <w:lang w:val="en-US"/>
        </w:rPr>
      </w:pPr>
    </w:p>
    <w:p w14:paraId="6E7D95E3" w14:textId="77777777" w:rsidR="00CD1632" w:rsidRPr="00D86495" w:rsidRDefault="00CD1632" w:rsidP="00CD1632">
      <w:pPr>
        <w:pStyle w:val="ListParagraph"/>
        <w:spacing w:line="276" w:lineRule="auto"/>
        <w:ind w:left="1440"/>
        <w:jc w:val="both"/>
        <w:rPr>
          <w:rFonts w:ascii="Arial" w:hAnsi="Arial" w:cs="Arial"/>
          <w:sz w:val="22"/>
          <w:szCs w:val="22"/>
          <w:lang w:val="en-US"/>
        </w:rPr>
      </w:pPr>
      <w:r w:rsidRPr="00D86495">
        <w:rPr>
          <w:rFonts w:ascii="Arial" w:hAnsi="Arial" w:cs="Arial"/>
          <w:sz w:val="22"/>
          <w:szCs w:val="22"/>
          <w:lang w:val="en-US"/>
        </w:rPr>
        <w:t>“</w:t>
      </w:r>
      <w:r w:rsidRPr="00D86495">
        <w:rPr>
          <w:rFonts w:ascii="Arial" w:hAnsi="Arial" w:cs="Arial"/>
          <w:i/>
          <w:iCs/>
          <w:sz w:val="22"/>
          <w:szCs w:val="22"/>
          <w:lang w:val="en-US"/>
        </w:rPr>
        <w:t>Urgent consideration is needed across Executive Departments on sector resilience in the face of a growing threat from novel coronavirus</w:t>
      </w:r>
      <w:r w:rsidRPr="00D86495">
        <w:rPr>
          <w:rFonts w:ascii="Arial" w:hAnsi="Arial" w:cs="Arial"/>
          <w:sz w:val="22"/>
          <w:szCs w:val="22"/>
          <w:lang w:val="en-US"/>
        </w:rPr>
        <w:t xml:space="preserve">. </w:t>
      </w:r>
      <w:r w:rsidRPr="00D86495">
        <w:rPr>
          <w:rFonts w:ascii="Arial" w:hAnsi="Arial" w:cs="Arial"/>
          <w:i/>
          <w:iCs/>
          <w:sz w:val="22"/>
          <w:szCs w:val="22"/>
          <w:lang w:val="en-US"/>
        </w:rPr>
        <w:t>The number of cases reported worldwide is growing daily with the potential to spread and cause economy-wide impacts, as is currently being seen in China.</w:t>
      </w:r>
      <w:r w:rsidRPr="00D86495">
        <w:rPr>
          <w:rFonts w:ascii="Arial" w:hAnsi="Arial" w:cs="Arial"/>
          <w:sz w:val="22"/>
          <w:szCs w:val="22"/>
          <w:lang w:val="en-US"/>
        </w:rPr>
        <w:t xml:space="preserve">” </w:t>
      </w:r>
    </w:p>
    <w:p w14:paraId="62EC1E06" w14:textId="77777777" w:rsidR="00CD1632" w:rsidRPr="00D86495" w:rsidRDefault="00CD1632" w:rsidP="00CD1632">
      <w:pPr>
        <w:pStyle w:val="ListParagraph"/>
        <w:spacing w:line="276" w:lineRule="auto"/>
        <w:jc w:val="both"/>
        <w:rPr>
          <w:rFonts w:ascii="Arial" w:hAnsi="Arial" w:cs="Arial"/>
          <w:sz w:val="22"/>
          <w:szCs w:val="22"/>
          <w:lang w:val="en-US"/>
        </w:rPr>
      </w:pPr>
    </w:p>
    <w:p w14:paraId="1748B010"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Issues around sector resilience, preparedness, co-ordination and civil contingencies were set out in clear terms. The view was expressed that it was not considered necessary to activate NICCMA</w:t>
      </w:r>
      <w:r>
        <w:rPr>
          <w:rFonts w:ascii="Arial" w:hAnsi="Arial" w:cs="Arial"/>
          <w:sz w:val="22"/>
          <w:szCs w:val="22"/>
          <w:lang w:val="en-US"/>
        </w:rPr>
        <w:t>,</w:t>
      </w:r>
      <w:r w:rsidRPr="00D86495">
        <w:rPr>
          <w:rFonts w:ascii="Arial" w:hAnsi="Arial" w:cs="Arial"/>
          <w:sz w:val="22"/>
          <w:szCs w:val="22"/>
          <w:lang w:val="en-US"/>
        </w:rPr>
        <w:t xml:space="preserve"> but that was in the context of also stating that “</w:t>
      </w:r>
      <w:r w:rsidRPr="00D86495">
        <w:rPr>
          <w:rFonts w:ascii="Arial" w:hAnsi="Arial" w:cs="Arial"/>
          <w:i/>
          <w:iCs/>
          <w:sz w:val="22"/>
          <w:szCs w:val="22"/>
          <w:lang w:val="en-US"/>
        </w:rPr>
        <w:t>this is an evolving situation and preparedness across NI is critical.”</w:t>
      </w:r>
      <w:r w:rsidRPr="00D86495">
        <w:rPr>
          <w:rFonts w:ascii="Arial" w:hAnsi="Arial" w:cs="Arial"/>
          <w:sz w:val="22"/>
          <w:szCs w:val="22"/>
          <w:lang w:val="en-US"/>
        </w:rPr>
        <w:t xml:space="preserve"> The convening of a multi-agency meeting by TEO was also canvassed. A decision to activate the NICCMA arrangements in </w:t>
      </w:r>
      <w:r w:rsidRPr="00D4019C">
        <w:rPr>
          <w:rFonts w:ascii="Arial" w:hAnsi="Arial" w:cs="Arial"/>
          <w:color w:val="000000" w:themeColor="text1"/>
          <w:sz w:val="22"/>
          <w:szCs w:val="22"/>
          <w:lang w:val="en-US"/>
        </w:rPr>
        <w:t>N</w:t>
      </w:r>
      <w:r>
        <w:rPr>
          <w:rFonts w:ascii="Arial" w:hAnsi="Arial" w:cs="Arial"/>
          <w:color w:val="000000" w:themeColor="text1"/>
          <w:sz w:val="22"/>
          <w:szCs w:val="22"/>
          <w:lang w:val="en-US"/>
        </w:rPr>
        <w:t>orthern Ireland</w:t>
      </w:r>
      <w:r w:rsidRPr="00D86495">
        <w:rPr>
          <w:rFonts w:ascii="Arial" w:hAnsi="Arial" w:cs="Arial"/>
          <w:sz w:val="22"/>
          <w:szCs w:val="22"/>
          <w:lang w:val="en-US"/>
        </w:rPr>
        <w:t xml:space="preserve"> </w:t>
      </w:r>
      <w:r>
        <w:rPr>
          <w:rFonts w:ascii="Arial" w:hAnsi="Arial" w:cs="Arial"/>
          <w:sz w:val="22"/>
          <w:szCs w:val="22"/>
          <w:lang w:val="en-US"/>
        </w:rPr>
        <w:t>had</w:t>
      </w:r>
      <w:r w:rsidRPr="00D86495">
        <w:rPr>
          <w:rFonts w:ascii="Arial" w:hAnsi="Arial" w:cs="Arial"/>
          <w:sz w:val="22"/>
          <w:szCs w:val="22"/>
          <w:lang w:val="en-US"/>
        </w:rPr>
        <w:t xml:space="preserve"> to be taken at the appropriate time and to be proportionate to the level of threat and response then required. Standing-up the NI Hub would likely have resulted in initiating business continuity arrangements to redeploy staff across Executive departments from other priority work</w:t>
      </w:r>
      <w:r>
        <w:rPr>
          <w:rFonts w:ascii="Arial" w:hAnsi="Arial" w:cs="Arial"/>
          <w:sz w:val="22"/>
          <w:szCs w:val="22"/>
          <w:lang w:val="en-US"/>
        </w:rPr>
        <w:t>, in order</w:t>
      </w:r>
      <w:r w:rsidRPr="00D86495">
        <w:rPr>
          <w:rFonts w:ascii="Arial" w:hAnsi="Arial" w:cs="Arial"/>
          <w:sz w:val="22"/>
          <w:szCs w:val="22"/>
          <w:lang w:val="en-US"/>
        </w:rPr>
        <w:t xml:space="preserve"> to resource the crisis management structures. This decision </w:t>
      </w:r>
      <w:r>
        <w:rPr>
          <w:rFonts w:ascii="Arial" w:hAnsi="Arial" w:cs="Arial"/>
          <w:sz w:val="22"/>
          <w:szCs w:val="22"/>
          <w:lang w:val="en-US"/>
        </w:rPr>
        <w:t xml:space="preserve">was finely </w:t>
      </w:r>
      <w:r w:rsidRPr="00D86495">
        <w:rPr>
          <w:rFonts w:ascii="Arial" w:hAnsi="Arial" w:cs="Arial"/>
          <w:sz w:val="22"/>
          <w:szCs w:val="22"/>
          <w:lang w:val="en-US"/>
        </w:rPr>
        <w:t xml:space="preserve">balanced between activating the </w:t>
      </w:r>
      <w:r>
        <w:rPr>
          <w:rFonts w:ascii="Arial" w:hAnsi="Arial" w:cs="Arial"/>
          <w:sz w:val="22"/>
          <w:szCs w:val="22"/>
          <w:lang w:val="en-US"/>
        </w:rPr>
        <w:t xml:space="preserve">NI </w:t>
      </w:r>
      <w:r w:rsidRPr="00D86495">
        <w:rPr>
          <w:rFonts w:ascii="Arial" w:hAnsi="Arial" w:cs="Arial"/>
          <w:sz w:val="22"/>
          <w:szCs w:val="22"/>
          <w:lang w:val="en-US"/>
        </w:rPr>
        <w:t xml:space="preserve">Hub at </w:t>
      </w:r>
      <w:r>
        <w:rPr>
          <w:rFonts w:ascii="Arial" w:hAnsi="Arial" w:cs="Arial"/>
          <w:sz w:val="22"/>
          <w:szCs w:val="22"/>
          <w:lang w:val="en-US"/>
        </w:rPr>
        <w:t xml:space="preserve">an </w:t>
      </w:r>
      <w:r w:rsidRPr="00D86495">
        <w:rPr>
          <w:rFonts w:ascii="Arial" w:hAnsi="Arial" w:cs="Arial"/>
          <w:sz w:val="22"/>
          <w:szCs w:val="22"/>
          <w:lang w:val="en-US"/>
        </w:rPr>
        <w:t>earlier point</w:t>
      </w:r>
      <w:r>
        <w:rPr>
          <w:rFonts w:ascii="Arial" w:hAnsi="Arial" w:cs="Arial"/>
          <w:sz w:val="22"/>
          <w:szCs w:val="22"/>
          <w:lang w:val="en-US"/>
        </w:rPr>
        <w:t>,</w:t>
      </w:r>
      <w:r w:rsidRPr="00D86495">
        <w:rPr>
          <w:rFonts w:ascii="Arial" w:hAnsi="Arial" w:cs="Arial"/>
          <w:sz w:val="22"/>
          <w:szCs w:val="22"/>
          <w:lang w:val="en-US"/>
        </w:rPr>
        <w:t xml:space="preserve"> against moving to business continuity and the resulting impact on other important work. DoH was focused on ensuring that the HSC was ready to respond to the </w:t>
      </w:r>
      <w:proofErr w:type="gramStart"/>
      <w:r w:rsidRPr="00D86495">
        <w:rPr>
          <w:rFonts w:ascii="Arial" w:hAnsi="Arial" w:cs="Arial"/>
          <w:sz w:val="22"/>
          <w:szCs w:val="22"/>
          <w:lang w:val="en-US"/>
        </w:rPr>
        <w:t>pandemic</w:t>
      </w:r>
      <w:r>
        <w:rPr>
          <w:rFonts w:ascii="Arial" w:hAnsi="Arial" w:cs="Arial"/>
          <w:sz w:val="22"/>
          <w:szCs w:val="22"/>
          <w:lang w:val="en-US"/>
        </w:rPr>
        <w:t>,</w:t>
      </w:r>
      <w:r w:rsidRPr="00D86495">
        <w:rPr>
          <w:rFonts w:ascii="Arial" w:hAnsi="Arial" w:cs="Arial"/>
          <w:sz w:val="22"/>
          <w:szCs w:val="22"/>
          <w:lang w:val="en-US"/>
        </w:rPr>
        <w:t xml:space="preserve"> and</w:t>
      </w:r>
      <w:proofErr w:type="gramEnd"/>
      <w:r w:rsidRPr="00D86495">
        <w:rPr>
          <w:rFonts w:ascii="Arial" w:hAnsi="Arial" w:cs="Arial"/>
          <w:sz w:val="22"/>
          <w:szCs w:val="22"/>
          <w:lang w:val="en-US"/>
        </w:rPr>
        <w:t xml:space="preserve"> updat</w:t>
      </w:r>
      <w:r>
        <w:rPr>
          <w:rFonts w:ascii="Arial" w:hAnsi="Arial" w:cs="Arial"/>
          <w:sz w:val="22"/>
          <w:szCs w:val="22"/>
          <w:lang w:val="en-US"/>
        </w:rPr>
        <w:t>ed</w:t>
      </w:r>
      <w:r w:rsidRPr="00D86495">
        <w:rPr>
          <w:rFonts w:ascii="Arial" w:hAnsi="Arial" w:cs="Arial"/>
          <w:sz w:val="22"/>
          <w:szCs w:val="22"/>
          <w:lang w:val="en-US"/>
        </w:rPr>
        <w:t xml:space="preserve"> the Executive on the urgency of the situation as it evolved. It remains a matter of conjecture as to whether</w:t>
      </w:r>
      <w:r>
        <w:rPr>
          <w:rFonts w:ascii="Arial" w:hAnsi="Arial" w:cs="Arial"/>
          <w:sz w:val="22"/>
          <w:szCs w:val="22"/>
          <w:lang w:val="en-US"/>
        </w:rPr>
        <w:t xml:space="preserve"> DoH</w:t>
      </w:r>
      <w:r w:rsidRPr="00D86495">
        <w:rPr>
          <w:rFonts w:ascii="Arial" w:hAnsi="Arial" w:cs="Arial"/>
          <w:sz w:val="22"/>
          <w:szCs w:val="22"/>
          <w:lang w:val="en-US"/>
        </w:rPr>
        <w:t xml:space="preserve">’s planning would have been enhanced by standing-up the </w:t>
      </w:r>
      <w:r>
        <w:rPr>
          <w:rFonts w:ascii="Arial" w:hAnsi="Arial" w:cs="Arial"/>
          <w:sz w:val="22"/>
          <w:szCs w:val="22"/>
          <w:lang w:val="en-US"/>
        </w:rPr>
        <w:t xml:space="preserve">NI </w:t>
      </w:r>
      <w:r w:rsidRPr="00D86495">
        <w:rPr>
          <w:rFonts w:ascii="Arial" w:hAnsi="Arial" w:cs="Arial"/>
          <w:sz w:val="22"/>
          <w:szCs w:val="22"/>
          <w:lang w:val="en-US"/>
        </w:rPr>
        <w:t xml:space="preserve">Hub earlier or </w:t>
      </w:r>
      <w:r>
        <w:rPr>
          <w:rFonts w:ascii="Arial" w:hAnsi="Arial" w:cs="Arial"/>
          <w:sz w:val="22"/>
          <w:szCs w:val="22"/>
          <w:lang w:val="en-US"/>
        </w:rPr>
        <w:t xml:space="preserve">if it </w:t>
      </w:r>
      <w:r w:rsidRPr="00D86495">
        <w:rPr>
          <w:rFonts w:ascii="Arial" w:hAnsi="Arial" w:cs="Arial"/>
          <w:sz w:val="22"/>
          <w:szCs w:val="22"/>
          <w:lang w:val="en-US"/>
        </w:rPr>
        <w:t>would have assisted the Executive Committee</w:t>
      </w:r>
      <w:r w:rsidRPr="00D86495">
        <w:rPr>
          <w:rStyle w:val="FootnoteReference"/>
          <w:rFonts w:ascii="Arial" w:hAnsi="Arial" w:cs="Arial"/>
          <w:sz w:val="22"/>
          <w:szCs w:val="22"/>
          <w:lang w:val="en-US"/>
        </w:rPr>
        <w:footnoteReference w:id="27"/>
      </w:r>
      <w:r w:rsidRPr="00D86495">
        <w:rPr>
          <w:rFonts w:ascii="Arial" w:hAnsi="Arial" w:cs="Arial"/>
          <w:sz w:val="22"/>
          <w:szCs w:val="22"/>
          <w:lang w:val="en-US"/>
        </w:rPr>
        <w:t xml:space="preserve">. </w:t>
      </w:r>
    </w:p>
    <w:p w14:paraId="5A970E28" w14:textId="77777777" w:rsidR="00CD1632" w:rsidRPr="00D86495" w:rsidRDefault="00CD1632" w:rsidP="00CD1632">
      <w:pPr>
        <w:pStyle w:val="ListParagraph"/>
        <w:spacing w:line="276" w:lineRule="auto"/>
        <w:jc w:val="both"/>
        <w:rPr>
          <w:rFonts w:ascii="Arial" w:hAnsi="Arial" w:cs="Arial"/>
          <w:sz w:val="22"/>
          <w:szCs w:val="22"/>
          <w:lang w:val="en-US"/>
        </w:rPr>
      </w:pPr>
    </w:p>
    <w:p w14:paraId="70070525" w14:textId="0AEB1723"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 xml:space="preserve">The </w:t>
      </w:r>
      <w:r w:rsidRPr="00D86495">
        <w:rPr>
          <w:rFonts w:ascii="Arial" w:hAnsi="Arial" w:cs="Arial"/>
          <w:sz w:val="22"/>
          <w:szCs w:val="22"/>
          <w:lang w:val="en-US"/>
        </w:rPr>
        <w:t xml:space="preserve">letter </w:t>
      </w:r>
      <w:r>
        <w:rPr>
          <w:rFonts w:ascii="Arial" w:hAnsi="Arial" w:cs="Arial"/>
          <w:sz w:val="22"/>
          <w:szCs w:val="22"/>
          <w:lang w:val="en-US"/>
        </w:rPr>
        <w:t xml:space="preserve">of </w:t>
      </w:r>
      <w:r w:rsidR="006C08BC">
        <w:rPr>
          <w:rFonts w:ascii="Arial" w:hAnsi="Arial" w:cs="Arial"/>
          <w:sz w:val="22"/>
          <w:szCs w:val="22"/>
          <w:lang w:val="en-US"/>
        </w:rPr>
        <w:t xml:space="preserve">6 February 2020 </w:t>
      </w:r>
      <w:r w:rsidRPr="00D86495">
        <w:rPr>
          <w:rFonts w:ascii="Arial" w:hAnsi="Arial" w:cs="Arial"/>
          <w:sz w:val="22"/>
          <w:szCs w:val="22"/>
          <w:lang w:val="en-US"/>
        </w:rPr>
        <w:t xml:space="preserve">at </w:t>
      </w:r>
      <w:r w:rsidRPr="00D86495">
        <w:rPr>
          <w:rFonts w:ascii="Arial" w:hAnsi="Arial" w:cs="Arial"/>
          <w:sz w:val="22"/>
          <w:szCs w:val="22"/>
        </w:rPr>
        <w:t>INQ000254430</w:t>
      </w:r>
      <w:r w:rsidRPr="00D86495">
        <w:rPr>
          <w:rFonts w:ascii="Arial" w:hAnsi="Arial" w:cs="Arial"/>
          <w:sz w:val="22"/>
          <w:szCs w:val="22"/>
          <w:lang w:val="en-US"/>
        </w:rPr>
        <w:t xml:space="preserve"> </w:t>
      </w:r>
      <w:r>
        <w:rPr>
          <w:rFonts w:ascii="Arial" w:hAnsi="Arial" w:cs="Arial"/>
          <w:sz w:val="22"/>
          <w:szCs w:val="22"/>
          <w:lang w:val="en-US"/>
        </w:rPr>
        <w:t xml:space="preserve">was </w:t>
      </w:r>
      <w:r w:rsidRPr="00D86495">
        <w:rPr>
          <w:rFonts w:ascii="Arial" w:hAnsi="Arial" w:cs="Arial"/>
          <w:sz w:val="22"/>
          <w:szCs w:val="22"/>
          <w:lang w:val="en-US"/>
        </w:rPr>
        <w:t xml:space="preserve">drafted by an official in </w:t>
      </w:r>
      <w:proofErr w:type="gramStart"/>
      <w:r w:rsidRPr="00D86495">
        <w:rPr>
          <w:rFonts w:ascii="Arial" w:hAnsi="Arial" w:cs="Arial"/>
          <w:sz w:val="22"/>
          <w:szCs w:val="22"/>
          <w:lang w:val="en-US"/>
        </w:rPr>
        <w:t xml:space="preserve">CMOG, </w:t>
      </w:r>
      <w:r>
        <w:rPr>
          <w:rFonts w:ascii="Arial" w:hAnsi="Arial" w:cs="Arial"/>
          <w:sz w:val="22"/>
          <w:szCs w:val="22"/>
          <w:lang w:val="en-US"/>
        </w:rPr>
        <w:t>and</w:t>
      </w:r>
      <w:proofErr w:type="gramEnd"/>
      <w:r>
        <w:rPr>
          <w:rFonts w:ascii="Arial" w:hAnsi="Arial" w:cs="Arial"/>
          <w:sz w:val="22"/>
          <w:szCs w:val="22"/>
          <w:lang w:val="en-US"/>
        </w:rPr>
        <w:t xml:space="preserve"> was sent </w:t>
      </w:r>
      <w:r w:rsidRPr="00D86495">
        <w:rPr>
          <w:rFonts w:ascii="Arial" w:hAnsi="Arial" w:cs="Arial"/>
          <w:sz w:val="22"/>
          <w:szCs w:val="22"/>
          <w:lang w:val="en-US"/>
        </w:rPr>
        <w:t>from the CMO</w:t>
      </w:r>
      <w:r>
        <w:rPr>
          <w:rFonts w:ascii="Arial" w:hAnsi="Arial" w:cs="Arial"/>
          <w:sz w:val="22"/>
          <w:szCs w:val="22"/>
          <w:lang w:val="en-US"/>
        </w:rPr>
        <w:t xml:space="preserve">.  This letter was </w:t>
      </w:r>
      <w:r w:rsidRPr="00D86495">
        <w:rPr>
          <w:rFonts w:ascii="Arial" w:hAnsi="Arial" w:cs="Arial"/>
          <w:sz w:val="22"/>
          <w:szCs w:val="22"/>
          <w:lang w:val="en-US"/>
        </w:rPr>
        <w:t xml:space="preserve">to assist TEO in communication with relevant stakeholders in establishing a cross sectoral meeting which had been proposed by the Director of Population Health to </w:t>
      </w:r>
      <w:proofErr w:type="gramStart"/>
      <w:r w:rsidRPr="00D86495">
        <w:rPr>
          <w:rFonts w:ascii="Arial" w:hAnsi="Arial" w:cs="Arial"/>
          <w:sz w:val="22"/>
          <w:szCs w:val="22"/>
          <w:lang w:val="en-US"/>
        </w:rPr>
        <w:t>Chris Stewart</w:t>
      </w:r>
      <w:r>
        <w:rPr>
          <w:rFonts w:ascii="Arial" w:hAnsi="Arial" w:cs="Arial"/>
          <w:sz w:val="22"/>
          <w:szCs w:val="22"/>
          <w:lang w:val="en-US"/>
        </w:rPr>
        <w:t>,</w:t>
      </w:r>
      <w:r w:rsidRPr="00D86495">
        <w:rPr>
          <w:rFonts w:ascii="Arial" w:hAnsi="Arial" w:cs="Arial"/>
          <w:sz w:val="22"/>
          <w:szCs w:val="22"/>
          <w:lang w:val="en-US"/>
        </w:rPr>
        <w:t xml:space="preserve"> and</w:t>
      </w:r>
      <w:proofErr w:type="gramEnd"/>
      <w:r w:rsidRPr="00D86495">
        <w:rPr>
          <w:rFonts w:ascii="Arial" w:hAnsi="Arial" w:cs="Arial"/>
          <w:sz w:val="22"/>
          <w:szCs w:val="22"/>
          <w:lang w:val="en-US"/>
        </w:rPr>
        <w:t xml:space="preserve"> was an agreed action arising out of the COBR(M) meeting of 5 February</w:t>
      </w:r>
      <w:r>
        <w:rPr>
          <w:rFonts w:ascii="Arial" w:hAnsi="Arial" w:cs="Arial"/>
          <w:sz w:val="22"/>
          <w:szCs w:val="22"/>
          <w:lang w:val="en-US"/>
        </w:rPr>
        <w:t xml:space="preserve"> 2020</w:t>
      </w:r>
      <w:r w:rsidRPr="00D86495">
        <w:rPr>
          <w:rFonts w:ascii="Arial" w:hAnsi="Arial" w:cs="Arial"/>
          <w:sz w:val="22"/>
          <w:szCs w:val="22"/>
          <w:lang w:val="en-US"/>
        </w:rPr>
        <w:t xml:space="preserve"> to brief “trusted partners”.  The purpose of this meeting was to ensure that relevant stakeholders would be briefed and to seek assurance on cross-sectoral preparedness and readiness.  These aims were covered in the Director of Population Health’s memo, and the letter</w:t>
      </w:r>
      <w:r>
        <w:rPr>
          <w:rFonts w:ascii="Arial" w:hAnsi="Arial" w:cs="Arial"/>
          <w:sz w:val="22"/>
          <w:szCs w:val="22"/>
          <w:lang w:val="en-US"/>
        </w:rPr>
        <w:t>,</w:t>
      </w:r>
      <w:r w:rsidRPr="00D86495">
        <w:rPr>
          <w:rFonts w:ascii="Arial" w:hAnsi="Arial" w:cs="Arial"/>
          <w:sz w:val="22"/>
          <w:szCs w:val="22"/>
          <w:lang w:val="en-US"/>
        </w:rPr>
        <w:t xml:space="preserve"> which was attached with the memo, suggested that it be circulated by TE</w:t>
      </w:r>
      <w:r>
        <w:rPr>
          <w:rFonts w:ascii="Arial" w:hAnsi="Arial" w:cs="Arial"/>
          <w:sz w:val="22"/>
          <w:szCs w:val="22"/>
          <w:lang w:val="en-US"/>
        </w:rPr>
        <w:t>O, given that it</w:t>
      </w:r>
      <w:r w:rsidRPr="00D86495">
        <w:rPr>
          <w:rFonts w:ascii="Arial" w:hAnsi="Arial" w:cs="Arial"/>
          <w:sz w:val="22"/>
          <w:szCs w:val="22"/>
          <w:lang w:val="en-US"/>
        </w:rPr>
        <w:t xml:space="preserve"> had responsibility for cross sectoral preparedness.  It is understood </w:t>
      </w:r>
      <w:r>
        <w:rPr>
          <w:rFonts w:ascii="Arial" w:hAnsi="Arial" w:cs="Arial"/>
          <w:sz w:val="22"/>
          <w:szCs w:val="22"/>
          <w:lang w:val="en-US"/>
        </w:rPr>
        <w:t xml:space="preserve">that </w:t>
      </w:r>
      <w:r w:rsidRPr="00D86495">
        <w:rPr>
          <w:rFonts w:ascii="Arial" w:hAnsi="Arial" w:cs="Arial"/>
          <w:sz w:val="22"/>
          <w:szCs w:val="22"/>
          <w:lang w:val="en-US"/>
        </w:rPr>
        <w:t>the first meeting of the CCG</w:t>
      </w:r>
      <w:r>
        <w:rPr>
          <w:rFonts w:ascii="Arial" w:hAnsi="Arial" w:cs="Arial"/>
          <w:sz w:val="22"/>
          <w:szCs w:val="22"/>
          <w:lang w:val="en-US"/>
        </w:rPr>
        <w:t>(</w:t>
      </w:r>
      <w:r w:rsidRPr="00D86495">
        <w:rPr>
          <w:rFonts w:ascii="Arial" w:hAnsi="Arial" w:cs="Arial"/>
          <w:sz w:val="22"/>
          <w:szCs w:val="22"/>
          <w:lang w:val="en-US"/>
        </w:rPr>
        <w:t>NI</w:t>
      </w:r>
      <w:r>
        <w:rPr>
          <w:rFonts w:ascii="Arial" w:hAnsi="Arial" w:cs="Arial"/>
          <w:sz w:val="22"/>
          <w:szCs w:val="22"/>
          <w:lang w:val="en-US"/>
        </w:rPr>
        <w:t>)</w:t>
      </w:r>
      <w:r w:rsidRPr="00D86495">
        <w:rPr>
          <w:rFonts w:ascii="Arial" w:hAnsi="Arial" w:cs="Arial"/>
          <w:sz w:val="22"/>
          <w:szCs w:val="22"/>
          <w:lang w:val="en-US"/>
        </w:rPr>
        <w:t xml:space="preserve"> was held on 20 February 2020, in response to that letter.  </w:t>
      </w:r>
    </w:p>
    <w:p w14:paraId="585D5CDE" w14:textId="77777777" w:rsidR="00CD1632" w:rsidRPr="00D86495" w:rsidRDefault="00CD1632" w:rsidP="00CD1632">
      <w:pPr>
        <w:pStyle w:val="ListParagraph"/>
        <w:spacing w:line="276" w:lineRule="auto"/>
        <w:jc w:val="both"/>
        <w:rPr>
          <w:rFonts w:ascii="Arial" w:hAnsi="Arial" w:cs="Arial"/>
          <w:sz w:val="22"/>
          <w:szCs w:val="22"/>
          <w:lang w:val="en-US"/>
        </w:rPr>
      </w:pPr>
    </w:p>
    <w:p w14:paraId="10C0973A"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It is hoped that</w:t>
      </w:r>
      <w:r w:rsidRPr="00D86495">
        <w:rPr>
          <w:rFonts w:ascii="Arial" w:hAnsi="Arial" w:cs="Arial"/>
          <w:sz w:val="22"/>
          <w:szCs w:val="22"/>
          <w:lang w:val="en-US"/>
        </w:rPr>
        <w:t xml:space="preserve"> the above exposition of the </w:t>
      </w:r>
      <w:r>
        <w:rPr>
          <w:rFonts w:ascii="Arial" w:hAnsi="Arial" w:cs="Arial"/>
          <w:sz w:val="22"/>
          <w:szCs w:val="22"/>
          <w:lang w:val="en-US"/>
        </w:rPr>
        <w:t>fuller</w:t>
      </w:r>
      <w:r w:rsidRPr="00D86495">
        <w:rPr>
          <w:rFonts w:ascii="Arial" w:hAnsi="Arial" w:cs="Arial"/>
          <w:sz w:val="22"/>
          <w:szCs w:val="22"/>
          <w:lang w:val="en-US"/>
        </w:rPr>
        <w:t xml:space="preserve"> context </w:t>
      </w:r>
      <w:r>
        <w:rPr>
          <w:rFonts w:ascii="Arial" w:hAnsi="Arial" w:cs="Arial"/>
          <w:sz w:val="22"/>
          <w:szCs w:val="22"/>
          <w:lang w:val="en-US"/>
        </w:rPr>
        <w:t>in which</w:t>
      </w:r>
      <w:r w:rsidRPr="00D86495">
        <w:rPr>
          <w:rFonts w:ascii="Arial" w:hAnsi="Arial" w:cs="Arial"/>
          <w:sz w:val="22"/>
          <w:szCs w:val="22"/>
          <w:lang w:val="en-US"/>
        </w:rPr>
        <w:t xml:space="preserve"> the impugned letter </w:t>
      </w:r>
      <w:r>
        <w:rPr>
          <w:rFonts w:ascii="Arial" w:hAnsi="Arial" w:cs="Arial"/>
          <w:sz w:val="22"/>
          <w:szCs w:val="22"/>
          <w:lang w:val="en-US"/>
        </w:rPr>
        <w:t xml:space="preserve">of 6 February 2020 sat, </w:t>
      </w:r>
      <w:r w:rsidRPr="00D86495">
        <w:rPr>
          <w:rFonts w:ascii="Arial" w:hAnsi="Arial" w:cs="Arial"/>
          <w:sz w:val="22"/>
          <w:szCs w:val="22"/>
          <w:lang w:val="en-US"/>
        </w:rPr>
        <w:t>demonstrates how isolated consideration of short extracts from individual pieces of correspondence can be potentially misleading. In this particular instance, a logical connection should be made between the memo from the Director of Population Health and the CCG</w:t>
      </w:r>
      <w:r>
        <w:rPr>
          <w:rFonts w:ascii="Arial" w:hAnsi="Arial" w:cs="Arial"/>
          <w:sz w:val="22"/>
          <w:szCs w:val="22"/>
          <w:lang w:val="en-US"/>
        </w:rPr>
        <w:t>(</w:t>
      </w:r>
      <w:r w:rsidRPr="00D86495">
        <w:rPr>
          <w:rFonts w:ascii="Arial" w:hAnsi="Arial" w:cs="Arial"/>
          <w:sz w:val="22"/>
          <w:szCs w:val="22"/>
          <w:lang w:val="en-US"/>
        </w:rPr>
        <w:t>NI</w:t>
      </w:r>
      <w:r>
        <w:rPr>
          <w:rFonts w:ascii="Arial" w:hAnsi="Arial" w:cs="Arial"/>
          <w:sz w:val="22"/>
          <w:szCs w:val="22"/>
          <w:lang w:val="en-US"/>
        </w:rPr>
        <w:t>)</w:t>
      </w:r>
      <w:r w:rsidRPr="00D86495">
        <w:rPr>
          <w:rFonts w:ascii="Arial" w:hAnsi="Arial" w:cs="Arial"/>
          <w:sz w:val="22"/>
          <w:szCs w:val="22"/>
          <w:lang w:val="en-US"/>
        </w:rPr>
        <w:t xml:space="preserve"> meeting, allied with the comprehensive briefing delivered by the DCMO on 20 February 2020, and the cross departmental briefing on 6 March 2020, which all formed part of </w:t>
      </w:r>
      <w:r>
        <w:rPr>
          <w:rFonts w:ascii="Arial" w:hAnsi="Arial" w:cs="Arial"/>
          <w:sz w:val="22"/>
          <w:szCs w:val="22"/>
          <w:lang w:val="en-US"/>
        </w:rPr>
        <w:t>DoH’s</w:t>
      </w:r>
      <w:r w:rsidRPr="00D86495">
        <w:rPr>
          <w:rFonts w:ascii="Arial" w:hAnsi="Arial" w:cs="Arial"/>
          <w:sz w:val="22"/>
          <w:szCs w:val="22"/>
          <w:lang w:val="en-US"/>
        </w:rPr>
        <w:t xml:space="preserve"> efforts to ensure that the message was promoted in a proportionate way across the NICS. </w:t>
      </w:r>
    </w:p>
    <w:p w14:paraId="47765919" w14:textId="77777777" w:rsidR="00CD1632" w:rsidRDefault="00CD1632" w:rsidP="00CD1632">
      <w:pPr>
        <w:pStyle w:val="ListParagraph"/>
        <w:spacing w:line="276" w:lineRule="auto"/>
        <w:jc w:val="both"/>
        <w:rPr>
          <w:rFonts w:ascii="Arial" w:hAnsi="Arial" w:cs="Arial"/>
          <w:sz w:val="22"/>
          <w:szCs w:val="22"/>
          <w:lang w:val="en-US"/>
        </w:rPr>
      </w:pPr>
    </w:p>
    <w:p w14:paraId="2244E36F"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On 20 February 2020, TEO organised a meeting of CCG(NI), at which meeting the DCMO, Dr Naresh Chada, gave a presentation on Coronavirus and NI's preparedness</w:t>
      </w:r>
      <w:r w:rsidRPr="00D86495">
        <w:rPr>
          <w:rStyle w:val="FootnoteReference"/>
          <w:rFonts w:ascii="Arial" w:hAnsi="Arial" w:cs="Arial"/>
          <w:sz w:val="22"/>
          <w:szCs w:val="22"/>
          <w:lang w:val="en-US"/>
        </w:rPr>
        <w:footnoteReference w:id="28"/>
      </w:r>
      <w:r w:rsidRPr="00D86495">
        <w:rPr>
          <w:rFonts w:ascii="Arial" w:hAnsi="Arial" w:cs="Arial"/>
          <w:sz w:val="22"/>
          <w:szCs w:val="22"/>
          <w:lang w:val="en-US"/>
        </w:rPr>
        <w:t>. The presentation stated that the R-number was estimated to be 2-3 with a doubling number of 4-5 days (internal page 5). The presentation informed attendees:</w:t>
      </w:r>
    </w:p>
    <w:p w14:paraId="47D5DA83" w14:textId="77777777" w:rsidR="00CD1632" w:rsidRPr="00D86495" w:rsidRDefault="00CD1632" w:rsidP="00CD1632">
      <w:pPr>
        <w:pStyle w:val="ListParagraph"/>
        <w:spacing w:line="276" w:lineRule="auto"/>
        <w:jc w:val="both"/>
        <w:rPr>
          <w:rFonts w:ascii="Arial" w:hAnsi="Arial" w:cs="Arial"/>
          <w:sz w:val="22"/>
          <w:szCs w:val="22"/>
          <w:lang w:val="en-US"/>
        </w:rPr>
      </w:pPr>
    </w:p>
    <w:p w14:paraId="722CAE7A" w14:textId="77777777" w:rsidR="00CD1632" w:rsidRPr="00D86495" w:rsidRDefault="00CD1632" w:rsidP="00CD1632">
      <w:pPr>
        <w:pStyle w:val="ListParagraph"/>
        <w:spacing w:line="276" w:lineRule="auto"/>
        <w:ind w:left="1440"/>
        <w:jc w:val="both"/>
        <w:rPr>
          <w:rFonts w:ascii="Arial" w:hAnsi="Arial" w:cs="Arial"/>
          <w:i/>
          <w:iCs/>
          <w:sz w:val="22"/>
          <w:szCs w:val="22"/>
          <w:lang w:val="en-US"/>
        </w:rPr>
      </w:pPr>
      <w:r w:rsidRPr="00D86495">
        <w:rPr>
          <w:rFonts w:ascii="Arial" w:hAnsi="Arial" w:cs="Arial"/>
          <w:i/>
          <w:iCs/>
          <w:sz w:val="22"/>
          <w:szCs w:val="22"/>
          <w:lang w:val="en-US"/>
        </w:rPr>
        <w:t xml:space="preserve">“Departments should consider </w:t>
      </w:r>
      <w:r w:rsidRPr="00D86495">
        <w:rPr>
          <w:rFonts w:ascii="Arial" w:hAnsi="Arial" w:cs="Arial"/>
          <w:b/>
          <w:bCs/>
          <w:i/>
          <w:iCs/>
          <w:sz w:val="22"/>
          <w:szCs w:val="22"/>
          <w:lang w:val="en-US"/>
        </w:rPr>
        <w:t>pandemic influenza planning as a starting point</w:t>
      </w:r>
      <w:r w:rsidRPr="00D86495">
        <w:rPr>
          <w:rFonts w:ascii="Arial" w:hAnsi="Arial" w:cs="Arial"/>
          <w:i/>
          <w:iCs/>
          <w:sz w:val="22"/>
          <w:szCs w:val="22"/>
          <w:lang w:val="en-US"/>
        </w:rPr>
        <w:t xml:space="preserve"> to rapidly advance panning for the reasonable worst case scenario for COVID-19.  The elderly and those with existing health conditions will be disproportionately affected.  </w:t>
      </w:r>
      <w:r w:rsidRPr="00D86495">
        <w:rPr>
          <w:rFonts w:ascii="Arial" w:hAnsi="Arial" w:cs="Arial"/>
          <w:b/>
          <w:bCs/>
          <w:i/>
          <w:iCs/>
          <w:sz w:val="22"/>
          <w:szCs w:val="22"/>
          <w:lang w:val="en-US"/>
        </w:rPr>
        <w:t>These planning assumptions predict excess deaths, massive impacts across government, school closures, rail and road transport issues, and huge costs</w:t>
      </w:r>
      <w:r w:rsidRPr="00D86495">
        <w:rPr>
          <w:rFonts w:ascii="Arial" w:hAnsi="Arial" w:cs="Arial"/>
          <w:i/>
          <w:iCs/>
          <w:sz w:val="22"/>
          <w:szCs w:val="22"/>
          <w:lang w:val="en-US"/>
        </w:rPr>
        <w:t>.”</w:t>
      </w:r>
      <w:r w:rsidRPr="00D86495">
        <w:rPr>
          <w:rFonts w:ascii="Arial" w:hAnsi="Arial" w:cs="Arial"/>
          <w:sz w:val="22"/>
          <w:szCs w:val="22"/>
          <w:lang w:val="en-US"/>
        </w:rPr>
        <w:t xml:space="preserve"> (emphasis in original) (internal page 16)</w:t>
      </w:r>
    </w:p>
    <w:p w14:paraId="372E64D3" w14:textId="77777777" w:rsidR="00CD1632" w:rsidRDefault="00CD1632" w:rsidP="00CD1632">
      <w:pPr>
        <w:pStyle w:val="ListParagraph"/>
        <w:spacing w:line="276" w:lineRule="auto"/>
        <w:jc w:val="both"/>
        <w:rPr>
          <w:rFonts w:ascii="Arial" w:hAnsi="Arial" w:cs="Arial"/>
          <w:sz w:val="22"/>
          <w:szCs w:val="22"/>
          <w:lang w:val="en-US"/>
        </w:rPr>
      </w:pPr>
    </w:p>
    <w:p w14:paraId="09DEB8B7"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Action points from the meeting recorded by CCG(NI) under the heading ‘Readiness’ included a priority that “</w:t>
      </w:r>
      <w:r w:rsidRPr="00D86495">
        <w:rPr>
          <w:rFonts w:ascii="Arial" w:hAnsi="Arial" w:cs="Arial"/>
          <w:i/>
          <w:iCs/>
          <w:sz w:val="22"/>
          <w:szCs w:val="22"/>
          <w:lang w:val="en-US"/>
        </w:rPr>
        <w:t>All organisations to review business continuity plans in light of reasonable worst-case parameters (RWCS).</w:t>
      </w:r>
      <w:r w:rsidRPr="00D86495">
        <w:rPr>
          <w:rFonts w:ascii="Arial" w:hAnsi="Arial" w:cs="Arial"/>
          <w:sz w:val="22"/>
          <w:szCs w:val="22"/>
          <w:lang w:val="en-US"/>
        </w:rPr>
        <w:t xml:space="preserve">” </w:t>
      </w:r>
      <w:r>
        <w:rPr>
          <w:rFonts w:ascii="Arial" w:hAnsi="Arial" w:cs="Arial"/>
          <w:sz w:val="22"/>
          <w:szCs w:val="22"/>
          <w:lang w:val="en-US"/>
        </w:rPr>
        <w:t>T</w:t>
      </w:r>
      <w:r w:rsidRPr="00D86495">
        <w:rPr>
          <w:rFonts w:ascii="Arial" w:hAnsi="Arial" w:cs="Arial"/>
          <w:sz w:val="22"/>
          <w:szCs w:val="22"/>
          <w:lang w:val="en-US"/>
        </w:rPr>
        <w:t>he significance of such statement</w:t>
      </w:r>
      <w:r>
        <w:rPr>
          <w:rFonts w:ascii="Arial" w:hAnsi="Arial" w:cs="Arial"/>
          <w:sz w:val="22"/>
          <w:szCs w:val="22"/>
          <w:lang w:val="en-US"/>
        </w:rPr>
        <w:t>s</w:t>
      </w:r>
      <w:r w:rsidRPr="00D86495">
        <w:rPr>
          <w:rFonts w:ascii="Arial" w:hAnsi="Arial" w:cs="Arial"/>
          <w:sz w:val="22"/>
          <w:szCs w:val="22"/>
          <w:lang w:val="en-US"/>
        </w:rPr>
        <w:t xml:space="preserve"> and the language used will have been fully understood by all those attending a meeting of the Civil Contingencies Group. Further daily meetings were chaired by HOCS and attended by the DoH Permanent Secretary. Whilst NICCMA</w:t>
      </w:r>
      <w:r w:rsidRPr="00D86495">
        <w:rPr>
          <w:rStyle w:val="FootnoteReference"/>
          <w:rFonts w:ascii="Arial" w:hAnsi="Arial" w:cs="Arial"/>
          <w:sz w:val="22"/>
          <w:szCs w:val="22"/>
          <w:lang w:val="en-US"/>
        </w:rPr>
        <w:footnoteReference w:id="29"/>
      </w:r>
      <w:r w:rsidRPr="00D86495">
        <w:rPr>
          <w:rFonts w:ascii="Arial" w:hAnsi="Arial" w:cs="Arial"/>
          <w:sz w:val="22"/>
          <w:szCs w:val="22"/>
          <w:lang w:val="en-US"/>
        </w:rPr>
        <w:t xml:space="preserve"> and the Hub</w:t>
      </w:r>
      <w:r w:rsidRPr="00D86495">
        <w:rPr>
          <w:rStyle w:val="FootnoteReference"/>
          <w:rFonts w:ascii="Arial" w:hAnsi="Arial" w:cs="Arial"/>
          <w:sz w:val="22"/>
          <w:szCs w:val="22"/>
          <w:lang w:val="en-US"/>
        </w:rPr>
        <w:footnoteReference w:id="30"/>
      </w:r>
      <w:r w:rsidRPr="00D86495">
        <w:rPr>
          <w:rFonts w:ascii="Arial" w:hAnsi="Arial" w:cs="Arial"/>
          <w:sz w:val="22"/>
          <w:szCs w:val="22"/>
          <w:lang w:val="en-US"/>
        </w:rPr>
        <w:t xml:space="preserve"> had not been stood up at that time, that is not to detract from the fact that there was significant work ongoing regarding preparedness, and that substantial efforts were made across a number of departments to ensure that Northern Ireland was preparing for the Reasonable Worst Case Scenario (‘RWCS’). The </w:t>
      </w:r>
      <w:r>
        <w:rPr>
          <w:rFonts w:ascii="Arial" w:hAnsi="Arial" w:cs="Arial"/>
          <w:sz w:val="22"/>
          <w:szCs w:val="22"/>
          <w:lang w:val="en-US"/>
        </w:rPr>
        <w:t xml:space="preserve">non-activation of </w:t>
      </w:r>
      <w:r w:rsidRPr="00D86495">
        <w:rPr>
          <w:rFonts w:ascii="Arial" w:hAnsi="Arial" w:cs="Arial"/>
          <w:sz w:val="22"/>
          <w:szCs w:val="22"/>
          <w:lang w:val="en-US"/>
        </w:rPr>
        <w:t xml:space="preserve">NICCMA (or the </w:t>
      </w:r>
      <w:r>
        <w:rPr>
          <w:rFonts w:ascii="Arial" w:hAnsi="Arial" w:cs="Arial"/>
          <w:sz w:val="22"/>
          <w:szCs w:val="22"/>
          <w:lang w:val="en-US"/>
        </w:rPr>
        <w:t xml:space="preserve">NI </w:t>
      </w:r>
      <w:r w:rsidRPr="00D86495">
        <w:rPr>
          <w:rFonts w:ascii="Arial" w:hAnsi="Arial" w:cs="Arial"/>
          <w:sz w:val="22"/>
          <w:szCs w:val="22"/>
          <w:lang w:val="en-US"/>
        </w:rPr>
        <w:t xml:space="preserve">Hub) </w:t>
      </w:r>
      <w:r>
        <w:rPr>
          <w:rFonts w:ascii="Arial" w:hAnsi="Arial" w:cs="Arial"/>
          <w:sz w:val="22"/>
          <w:szCs w:val="22"/>
          <w:lang w:val="en-US"/>
        </w:rPr>
        <w:t>at that point is not</w:t>
      </w:r>
      <w:r w:rsidRPr="00D86495">
        <w:rPr>
          <w:rFonts w:ascii="Arial" w:hAnsi="Arial" w:cs="Arial"/>
          <w:sz w:val="22"/>
          <w:szCs w:val="22"/>
          <w:lang w:val="en-US"/>
        </w:rPr>
        <w:t xml:space="preserve"> evidence of a lack of understanding of the seriousness</w:t>
      </w:r>
      <w:r>
        <w:rPr>
          <w:rFonts w:ascii="Arial" w:hAnsi="Arial" w:cs="Arial"/>
          <w:sz w:val="22"/>
          <w:szCs w:val="22"/>
          <w:lang w:val="en-US"/>
        </w:rPr>
        <w:t>,</w:t>
      </w:r>
      <w:r w:rsidRPr="00D86495">
        <w:rPr>
          <w:rFonts w:ascii="Arial" w:hAnsi="Arial" w:cs="Arial"/>
          <w:sz w:val="22"/>
          <w:szCs w:val="22"/>
          <w:lang w:val="en-US"/>
        </w:rPr>
        <w:t xml:space="preserve"> nor of a lack of </w:t>
      </w:r>
      <w:proofErr w:type="spellStart"/>
      <w:r w:rsidRPr="00D86495">
        <w:rPr>
          <w:rFonts w:ascii="Arial" w:hAnsi="Arial" w:cs="Arial"/>
          <w:sz w:val="22"/>
          <w:szCs w:val="22"/>
          <w:lang w:val="en-US"/>
        </w:rPr>
        <w:t>endeavour</w:t>
      </w:r>
      <w:proofErr w:type="spellEnd"/>
      <w:r w:rsidRPr="00D86495">
        <w:rPr>
          <w:rFonts w:ascii="Arial" w:hAnsi="Arial" w:cs="Arial"/>
          <w:sz w:val="22"/>
          <w:szCs w:val="22"/>
          <w:lang w:val="en-US"/>
        </w:rPr>
        <w:t xml:space="preserve"> to make Northern Ireland ready for what might occur. </w:t>
      </w:r>
    </w:p>
    <w:p w14:paraId="4060F196" w14:textId="77777777" w:rsidR="00CD1632" w:rsidRPr="00D86495" w:rsidRDefault="00CD1632" w:rsidP="00CD1632">
      <w:pPr>
        <w:rPr>
          <w:u w:val="single"/>
          <w:lang w:val="en-US"/>
        </w:rPr>
      </w:pPr>
    </w:p>
    <w:p w14:paraId="6220EEAB"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 xml:space="preserve">It </w:t>
      </w:r>
      <w:r w:rsidRPr="00D86495">
        <w:rPr>
          <w:rFonts w:ascii="Arial" w:hAnsi="Arial" w:cs="Arial"/>
          <w:sz w:val="22"/>
          <w:szCs w:val="22"/>
          <w:lang w:val="en-US"/>
        </w:rPr>
        <w:t xml:space="preserve">should be noted that the briefing on 20 February 2020 did cover the concept of RWSC for pandemic </w:t>
      </w:r>
      <w:proofErr w:type="gramStart"/>
      <w:r w:rsidRPr="00D86495">
        <w:rPr>
          <w:rFonts w:ascii="Arial" w:hAnsi="Arial" w:cs="Arial"/>
          <w:sz w:val="22"/>
          <w:szCs w:val="22"/>
          <w:lang w:val="en-US"/>
        </w:rPr>
        <w:t>flu, and</w:t>
      </w:r>
      <w:proofErr w:type="gramEnd"/>
      <w:r w:rsidRPr="00D86495">
        <w:rPr>
          <w:rFonts w:ascii="Arial" w:hAnsi="Arial" w:cs="Arial"/>
          <w:sz w:val="22"/>
          <w:szCs w:val="22"/>
          <w:lang w:val="en-US"/>
        </w:rPr>
        <w:t xml:space="preserve"> need to plan and prepare on this basis.  Additionally the cross-departmental briefing on 6 March 2020 provided an update on the updated RWSC for Covid-19.</w:t>
      </w:r>
    </w:p>
    <w:p w14:paraId="2470F488" w14:textId="77777777" w:rsidR="00CD1632" w:rsidRPr="00D86495" w:rsidRDefault="00CD1632" w:rsidP="00CD1632">
      <w:pPr>
        <w:pStyle w:val="ListParagraph"/>
        <w:spacing w:line="276" w:lineRule="auto"/>
        <w:jc w:val="both"/>
        <w:rPr>
          <w:rFonts w:ascii="Arial" w:hAnsi="Arial" w:cs="Arial"/>
          <w:sz w:val="22"/>
          <w:szCs w:val="22"/>
          <w:lang w:val="en-US"/>
        </w:rPr>
      </w:pPr>
    </w:p>
    <w:p w14:paraId="1C61DA27" w14:textId="24F38CD6" w:rsidR="00CD1632"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color w:val="000000" w:themeColor="text1"/>
          <w:sz w:val="22"/>
          <w:szCs w:val="22"/>
          <w:lang w:val="en-US"/>
        </w:rPr>
        <w:t>The readership of the correspondence of 6 February</w:t>
      </w:r>
      <w:r>
        <w:rPr>
          <w:rFonts w:ascii="Arial" w:hAnsi="Arial" w:cs="Arial"/>
          <w:color w:val="000000" w:themeColor="text1"/>
          <w:sz w:val="22"/>
          <w:szCs w:val="22"/>
          <w:lang w:val="en-US"/>
        </w:rPr>
        <w:t xml:space="preserve"> 2020</w:t>
      </w:r>
      <w:r w:rsidRPr="00D86495">
        <w:rPr>
          <w:rFonts w:ascii="Arial" w:hAnsi="Arial" w:cs="Arial"/>
          <w:color w:val="000000" w:themeColor="text1"/>
          <w:sz w:val="22"/>
          <w:szCs w:val="22"/>
          <w:lang w:val="en-US"/>
        </w:rPr>
        <w:t>, the attendees at the Permanent Secretaries Stakeholder Group</w:t>
      </w:r>
      <w:r>
        <w:rPr>
          <w:rFonts w:ascii="Arial" w:hAnsi="Arial" w:cs="Arial"/>
          <w:color w:val="000000" w:themeColor="text1"/>
          <w:sz w:val="22"/>
          <w:szCs w:val="22"/>
          <w:lang w:val="en-US"/>
        </w:rPr>
        <w:t>,</w:t>
      </w:r>
      <w:r w:rsidRPr="00D86495">
        <w:rPr>
          <w:rFonts w:ascii="Arial" w:hAnsi="Arial" w:cs="Arial"/>
          <w:color w:val="000000" w:themeColor="text1"/>
          <w:sz w:val="22"/>
          <w:szCs w:val="22"/>
          <w:lang w:val="en-US"/>
        </w:rPr>
        <w:t xml:space="preserve"> and audience of the presentation by DCMO on 20 February 2020 </w:t>
      </w:r>
      <w:r>
        <w:rPr>
          <w:rFonts w:ascii="Arial" w:hAnsi="Arial" w:cs="Arial"/>
          <w:color w:val="000000" w:themeColor="text1"/>
          <w:sz w:val="22"/>
          <w:szCs w:val="22"/>
          <w:lang w:val="en-US"/>
        </w:rPr>
        <w:t>c</w:t>
      </w:r>
      <w:r w:rsidRPr="00D86495">
        <w:rPr>
          <w:rFonts w:ascii="Arial" w:hAnsi="Arial" w:cs="Arial"/>
          <w:color w:val="000000" w:themeColor="text1"/>
          <w:sz w:val="22"/>
          <w:szCs w:val="22"/>
          <w:lang w:val="en-US"/>
        </w:rPr>
        <w:t xml:space="preserve">ould </w:t>
      </w:r>
      <w:r>
        <w:rPr>
          <w:rFonts w:ascii="Arial" w:hAnsi="Arial" w:cs="Arial"/>
          <w:color w:val="000000" w:themeColor="text1"/>
          <w:sz w:val="22"/>
          <w:szCs w:val="22"/>
          <w:lang w:val="en-US"/>
        </w:rPr>
        <w:t xml:space="preserve">not </w:t>
      </w:r>
      <w:r w:rsidRPr="00D86495">
        <w:rPr>
          <w:rFonts w:ascii="Arial" w:hAnsi="Arial" w:cs="Arial"/>
          <w:color w:val="000000" w:themeColor="text1"/>
          <w:sz w:val="22"/>
          <w:szCs w:val="22"/>
          <w:lang w:val="en-US"/>
        </w:rPr>
        <w:t xml:space="preserve">have </w:t>
      </w:r>
      <w:r>
        <w:rPr>
          <w:rFonts w:ascii="Arial" w:hAnsi="Arial" w:cs="Arial"/>
          <w:color w:val="000000" w:themeColor="text1"/>
          <w:sz w:val="22"/>
          <w:szCs w:val="22"/>
          <w:lang w:val="en-US"/>
        </w:rPr>
        <w:t xml:space="preserve">failed to </w:t>
      </w:r>
      <w:r w:rsidRPr="00D86495">
        <w:rPr>
          <w:rFonts w:ascii="Arial" w:hAnsi="Arial" w:cs="Arial"/>
          <w:color w:val="000000" w:themeColor="text1"/>
          <w:sz w:val="22"/>
          <w:szCs w:val="22"/>
          <w:lang w:val="en-US"/>
        </w:rPr>
        <w:t>underst</w:t>
      </w:r>
      <w:r>
        <w:rPr>
          <w:rFonts w:ascii="Arial" w:hAnsi="Arial" w:cs="Arial"/>
          <w:color w:val="000000" w:themeColor="text1"/>
          <w:sz w:val="22"/>
          <w:szCs w:val="22"/>
          <w:lang w:val="en-US"/>
        </w:rPr>
        <w:t>an</w:t>
      </w:r>
      <w:r w:rsidRPr="00D86495">
        <w:rPr>
          <w:rFonts w:ascii="Arial" w:hAnsi="Arial" w:cs="Arial"/>
          <w:color w:val="000000" w:themeColor="text1"/>
          <w:sz w:val="22"/>
          <w:szCs w:val="22"/>
          <w:lang w:val="en-US"/>
        </w:rPr>
        <w:t xml:space="preserve">d the urgency and seriousness from the language used. The R-number value, doubling rate and cross-cutting nature and seriousness of the circumstances are plain in the above captured elements from the presentation. </w:t>
      </w:r>
      <w:r w:rsidRPr="00D86495">
        <w:rPr>
          <w:rFonts w:ascii="Arial" w:hAnsi="Arial" w:cs="Arial"/>
          <w:sz w:val="22"/>
          <w:szCs w:val="22"/>
          <w:lang w:val="en-US"/>
        </w:rPr>
        <w:t>DoH contends that the only credible interpretation of the presentation given on 20 Feb</w:t>
      </w:r>
      <w:r>
        <w:rPr>
          <w:rFonts w:ascii="Arial" w:hAnsi="Arial" w:cs="Arial"/>
          <w:sz w:val="22"/>
          <w:szCs w:val="22"/>
          <w:lang w:val="en-US"/>
        </w:rPr>
        <w:t>ruary</w:t>
      </w:r>
      <w:r w:rsidRPr="00D86495">
        <w:rPr>
          <w:rFonts w:ascii="Arial" w:hAnsi="Arial" w:cs="Arial"/>
          <w:sz w:val="22"/>
          <w:szCs w:val="22"/>
          <w:lang w:val="en-US"/>
        </w:rPr>
        <w:t xml:space="preserve"> 2020 by DCMO should have resulted in the officials who were in attendance, briefing their respective </w:t>
      </w:r>
      <w:r>
        <w:rPr>
          <w:rFonts w:ascii="Arial" w:hAnsi="Arial" w:cs="Arial"/>
          <w:sz w:val="22"/>
          <w:szCs w:val="22"/>
          <w:lang w:val="en-US"/>
        </w:rPr>
        <w:t>M</w:t>
      </w:r>
      <w:r w:rsidRPr="00D86495">
        <w:rPr>
          <w:rFonts w:ascii="Arial" w:hAnsi="Arial" w:cs="Arial"/>
          <w:sz w:val="22"/>
          <w:szCs w:val="22"/>
          <w:lang w:val="en-US"/>
        </w:rPr>
        <w:t>inister</w:t>
      </w:r>
      <w:r>
        <w:rPr>
          <w:rFonts w:ascii="Arial" w:hAnsi="Arial" w:cs="Arial"/>
          <w:sz w:val="22"/>
          <w:szCs w:val="22"/>
          <w:lang w:val="en-US"/>
        </w:rPr>
        <w:t>s</w:t>
      </w:r>
      <w:r w:rsidRPr="00D86495">
        <w:rPr>
          <w:rFonts w:ascii="Arial" w:hAnsi="Arial" w:cs="Arial"/>
          <w:sz w:val="22"/>
          <w:szCs w:val="22"/>
          <w:lang w:val="en-US"/>
        </w:rPr>
        <w:t xml:space="preserve"> on the</w:t>
      </w:r>
      <w:r>
        <w:rPr>
          <w:rFonts w:ascii="Arial" w:hAnsi="Arial" w:cs="Arial"/>
          <w:sz w:val="22"/>
          <w:szCs w:val="22"/>
          <w:lang w:val="en-US"/>
        </w:rPr>
        <w:t xml:space="preserve"> RWCS</w:t>
      </w:r>
      <w:r w:rsidRPr="00D86495">
        <w:rPr>
          <w:rFonts w:ascii="Arial" w:hAnsi="Arial" w:cs="Arial"/>
          <w:sz w:val="22"/>
          <w:szCs w:val="22"/>
          <w:lang w:val="en-US"/>
        </w:rPr>
        <w:t xml:space="preserve">, and advising their Minister of the need for </w:t>
      </w:r>
      <w:r>
        <w:rPr>
          <w:rFonts w:ascii="Arial" w:hAnsi="Arial" w:cs="Arial"/>
          <w:sz w:val="22"/>
          <w:szCs w:val="22"/>
          <w:lang w:val="en-US"/>
        </w:rPr>
        <w:t>each d</w:t>
      </w:r>
      <w:r w:rsidRPr="00D86495">
        <w:rPr>
          <w:rFonts w:ascii="Arial" w:hAnsi="Arial" w:cs="Arial"/>
          <w:sz w:val="22"/>
          <w:szCs w:val="22"/>
          <w:lang w:val="en-US"/>
        </w:rPr>
        <w:t>epartment</w:t>
      </w:r>
      <w:r>
        <w:rPr>
          <w:rFonts w:ascii="Arial" w:hAnsi="Arial" w:cs="Arial"/>
          <w:sz w:val="22"/>
          <w:szCs w:val="22"/>
          <w:lang w:val="en-US"/>
        </w:rPr>
        <w:t xml:space="preserve"> </w:t>
      </w:r>
      <w:r w:rsidRPr="00D86495">
        <w:rPr>
          <w:rFonts w:ascii="Arial" w:hAnsi="Arial" w:cs="Arial"/>
          <w:sz w:val="22"/>
          <w:szCs w:val="22"/>
          <w:lang w:val="en-US"/>
        </w:rPr>
        <w:t xml:space="preserve">to identify issues and develop plans. It is submitted that slides 5, 12, 16 and 17 are particularly relevant to the alarm that was sounded. However, </w:t>
      </w:r>
      <w:r>
        <w:rPr>
          <w:rFonts w:ascii="Arial" w:hAnsi="Arial" w:cs="Arial"/>
          <w:sz w:val="22"/>
          <w:szCs w:val="22"/>
          <w:lang w:val="en-US"/>
        </w:rPr>
        <w:t xml:space="preserve">notwithstanding these efforts, it appears from </w:t>
      </w:r>
      <w:r w:rsidRPr="00D86495">
        <w:rPr>
          <w:rFonts w:ascii="Arial" w:hAnsi="Arial" w:cs="Arial"/>
          <w:sz w:val="22"/>
          <w:szCs w:val="22"/>
          <w:lang w:val="en-US"/>
        </w:rPr>
        <w:t>Lord Weir’s evidence</w:t>
      </w:r>
      <w:r>
        <w:rPr>
          <w:rFonts w:ascii="Arial" w:hAnsi="Arial" w:cs="Arial"/>
          <w:sz w:val="22"/>
          <w:szCs w:val="22"/>
          <w:lang w:val="en-US"/>
        </w:rPr>
        <w:t xml:space="preserve">, that </w:t>
      </w:r>
      <w:r w:rsidRPr="00D86495">
        <w:rPr>
          <w:rFonts w:ascii="Arial" w:hAnsi="Arial" w:cs="Arial"/>
          <w:sz w:val="22"/>
          <w:szCs w:val="22"/>
          <w:lang w:val="en-US"/>
        </w:rPr>
        <w:t xml:space="preserve">this message was </w:t>
      </w:r>
      <w:r>
        <w:rPr>
          <w:rFonts w:ascii="Arial" w:hAnsi="Arial" w:cs="Arial"/>
          <w:sz w:val="22"/>
          <w:szCs w:val="22"/>
          <w:lang w:val="en-US"/>
        </w:rPr>
        <w:t xml:space="preserve">either </w:t>
      </w:r>
      <w:r w:rsidRPr="00D86495">
        <w:rPr>
          <w:rFonts w:ascii="Arial" w:hAnsi="Arial" w:cs="Arial"/>
          <w:sz w:val="22"/>
          <w:szCs w:val="22"/>
          <w:lang w:val="en-US"/>
        </w:rPr>
        <w:t xml:space="preserve">not </w:t>
      </w:r>
      <w:r>
        <w:rPr>
          <w:rFonts w:ascii="Arial" w:hAnsi="Arial" w:cs="Arial"/>
          <w:sz w:val="22"/>
          <w:szCs w:val="22"/>
          <w:lang w:val="en-US"/>
        </w:rPr>
        <w:t xml:space="preserve">effectively </w:t>
      </w:r>
      <w:r w:rsidRPr="00D86495">
        <w:rPr>
          <w:rFonts w:ascii="Arial" w:hAnsi="Arial" w:cs="Arial"/>
          <w:sz w:val="22"/>
          <w:szCs w:val="22"/>
          <w:lang w:val="en-US"/>
        </w:rPr>
        <w:t>conveyed</w:t>
      </w:r>
      <w:r w:rsidR="005B2D3C">
        <w:rPr>
          <w:rFonts w:ascii="Arial" w:hAnsi="Arial" w:cs="Arial"/>
          <w:sz w:val="22"/>
          <w:szCs w:val="22"/>
          <w:lang w:val="en-US"/>
        </w:rPr>
        <w:t xml:space="preserve"> back to,</w:t>
      </w:r>
      <w:r>
        <w:rPr>
          <w:rFonts w:ascii="Arial" w:hAnsi="Arial" w:cs="Arial"/>
          <w:sz w:val="22"/>
          <w:szCs w:val="22"/>
          <w:lang w:val="en-US"/>
        </w:rPr>
        <w:t xml:space="preserve"> or not received</w:t>
      </w:r>
      <w:r w:rsidR="005B2D3C">
        <w:rPr>
          <w:rFonts w:ascii="Arial" w:hAnsi="Arial" w:cs="Arial"/>
          <w:sz w:val="22"/>
          <w:szCs w:val="22"/>
          <w:lang w:val="en-US"/>
        </w:rPr>
        <w:t xml:space="preserve"> by, individual Ministers/ Departments</w:t>
      </w:r>
      <w:r w:rsidRPr="00D86495">
        <w:rPr>
          <w:rFonts w:ascii="Arial" w:hAnsi="Arial" w:cs="Arial"/>
          <w:sz w:val="22"/>
          <w:szCs w:val="22"/>
          <w:lang w:val="en-US"/>
        </w:rPr>
        <w:t>.</w:t>
      </w:r>
    </w:p>
    <w:p w14:paraId="70FACE5A" w14:textId="77777777" w:rsidR="00CD1632" w:rsidRDefault="00CD1632" w:rsidP="00CD1632">
      <w:pPr>
        <w:pStyle w:val="ListParagraph"/>
        <w:spacing w:line="276" w:lineRule="auto"/>
        <w:jc w:val="both"/>
        <w:rPr>
          <w:rFonts w:ascii="Arial" w:hAnsi="Arial" w:cs="Arial"/>
          <w:sz w:val="22"/>
          <w:szCs w:val="22"/>
          <w:lang w:val="en-US"/>
        </w:rPr>
      </w:pPr>
    </w:p>
    <w:p w14:paraId="60CB37C6"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During the period from 7 February to 20 February </w:t>
      </w:r>
      <w:r>
        <w:rPr>
          <w:rFonts w:ascii="Arial" w:hAnsi="Arial" w:cs="Arial"/>
          <w:sz w:val="22"/>
          <w:szCs w:val="22"/>
          <w:lang w:val="en-US"/>
        </w:rPr>
        <w:t>2020</w:t>
      </w:r>
      <w:r w:rsidRPr="00D86495">
        <w:rPr>
          <w:rFonts w:ascii="Arial" w:hAnsi="Arial" w:cs="Arial"/>
          <w:sz w:val="22"/>
          <w:szCs w:val="22"/>
          <w:lang w:val="en-US"/>
        </w:rPr>
        <w:t xml:space="preserve"> DoH and HSC were actively planning and preparing for the wider public health and health service.  This </w:t>
      </w:r>
      <w:r>
        <w:rPr>
          <w:rFonts w:ascii="Arial" w:hAnsi="Arial" w:cs="Arial"/>
          <w:sz w:val="22"/>
          <w:szCs w:val="22"/>
          <w:lang w:val="en-US"/>
        </w:rPr>
        <w:t xml:space="preserve">work </w:t>
      </w:r>
      <w:r w:rsidRPr="00D86495">
        <w:rPr>
          <w:rFonts w:ascii="Arial" w:hAnsi="Arial" w:cs="Arial"/>
          <w:sz w:val="22"/>
          <w:szCs w:val="22"/>
          <w:lang w:val="en-US"/>
        </w:rPr>
        <w:t>included</w:t>
      </w:r>
      <w:r>
        <w:rPr>
          <w:rFonts w:ascii="Arial" w:hAnsi="Arial" w:cs="Arial"/>
          <w:sz w:val="22"/>
          <w:szCs w:val="22"/>
          <w:lang w:val="en-US"/>
        </w:rPr>
        <w:t>:</w:t>
      </w:r>
      <w:r w:rsidRPr="00D86495">
        <w:rPr>
          <w:rFonts w:ascii="Arial" w:hAnsi="Arial" w:cs="Arial"/>
          <w:sz w:val="22"/>
          <w:szCs w:val="22"/>
          <w:lang w:val="en-US"/>
        </w:rPr>
        <w:t xml:space="preserve"> </w:t>
      </w:r>
      <w:r w:rsidRPr="00D86495">
        <w:rPr>
          <w:rFonts w:ascii="Arial" w:hAnsi="Arial" w:cs="Arial"/>
          <w:i/>
          <w:iCs/>
          <w:sz w:val="22"/>
          <w:szCs w:val="22"/>
          <w:lang w:val="en-US"/>
        </w:rPr>
        <w:t>inter alia</w:t>
      </w:r>
      <w:r w:rsidRPr="00D86495">
        <w:rPr>
          <w:rFonts w:ascii="Arial" w:hAnsi="Arial" w:cs="Arial"/>
          <w:sz w:val="22"/>
          <w:szCs w:val="22"/>
        </w:rPr>
        <w:t xml:space="preserve"> d</w:t>
      </w:r>
      <w:proofErr w:type="spellStart"/>
      <w:r w:rsidRPr="00D86495">
        <w:rPr>
          <w:rFonts w:ascii="Arial" w:hAnsi="Arial" w:cs="Arial"/>
          <w:sz w:val="22"/>
          <w:szCs w:val="22"/>
          <w:lang w:val="en-US"/>
        </w:rPr>
        <w:t>aily</w:t>
      </w:r>
      <w:proofErr w:type="spellEnd"/>
      <w:r w:rsidRPr="00D86495">
        <w:rPr>
          <w:rFonts w:ascii="Arial" w:hAnsi="Arial" w:cs="Arial"/>
          <w:sz w:val="22"/>
          <w:szCs w:val="22"/>
          <w:lang w:val="en-US"/>
        </w:rPr>
        <w:t xml:space="preserve"> UK calls with policy teams</w:t>
      </w:r>
      <w:r>
        <w:rPr>
          <w:rFonts w:ascii="Arial" w:hAnsi="Arial" w:cs="Arial"/>
          <w:sz w:val="22"/>
          <w:szCs w:val="22"/>
          <w:lang w:val="en-US"/>
        </w:rPr>
        <w:t>;</w:t>
      </w:r>
      <w:r w:rsidRPr="00D86495">
        <w:rPr>
          <w:rFonts w:ascii="Arial" w:hAnsi="Arial" w:cs="Arial"/>
          <w:sz w:val="22"/>
          <w:szCs w:val="22"/>
          <w:lang w:val="en-US"/>
        </w:rPr>
        <w:t xml:space="preserve"> PHA daily calls with PHE as part of</w:t>
      </w:r>
      <w:r>
        <w:rPr>
          <w:rFonts w:ascii="Arial" w:hAnsi="Arial" w:cs="Arial"/>
          <w:sz w:val="22"/>
          <w:szCs w:val="22"/>
          <w:lang w:val="en-US"/>
        </w:rPr>
        <w:t xml:space="preserve"> the Incident Management Team;</w:t>
      </w:r>
      <w:r w:rsidRPr="00D86495">
        <w:rPr>
          <w:rFonts w:ascii="Arial" w:hAnsi="Arial" w:cs="Arial"/>
          <w:sz w:val="22"/>
          <w:szCs w:val="22"/>
          <w:lang w:val="en-US"/>
        </w:rPr>
        <w:t xml:space="preserve"> development of testing capacity with </w:t>
      </w:r>
      <w:r w:rsidRPr="00AB4A06">
        <w:rPr>
          <w:rFonts w:ascii="Arial" w:hAnsi="Arial" w:cs="Arial"/>
          <w:sz w:val="22"/>
          <w:szCs w:val="22"/>
          <w:lang w:val="en-US"/>
        </w:rPr>
        <w:t xml:space="preserve">Regional Virus Laboratory </w:t>
      </w:r>
      <w:r w:rsidRPr="00D86495">
        <w:rPr>
          <w:rFonts w:ascii="Arial" w:hAnsi="Arial" w:cs="Arial"/>
          <w:sz w:val="22"/>
          <w:szCs w:val="22"/>
          <w:lang w:val="en-US"/>
        </w:rPr>
        <w:t>in N</w:t>
      </w:r>
      <w:r>
        <w:rPr>
          <w:rFonts w:ascii="Arial" w:hAnsi="Arial" w:cs="Arial"/>
          <w:sz w:val="22"/>
          <w:szCs w:val="22"/>
          <w:lang w:val="en-US"/>
        </w:rPr>
        <w:t xml:space="preserve">orthern </w:t>
      </w:r>
      <w:r w:rsidRPr="00D86495">
        <w:rPr>
          <w:rFonts w:ascii="Arial" w:hAnsi="Arial" w:cs="Arial"/>
          <w:sz w:val="22"/>
          <w:szCs w:val="22"/>
          <w:lang w:val="en-US"/>
        </w:rPr>
        <w:t>I</w:t>
      </w:r>
      <w:r>
        <w:rPr>
          <w:rFonts w:ascii="Arial" w:hAnsi="Arial" w:cs="Arial"/>
          <w:sz w:val="22"/>
          <w:szCs w:val="22"/>
          <w:lang w:val="en-US"/>
        </w:rPr>
        <w:t>reland,</w:t>
      </w:r>
      <w:r w:rsidRPr="00D86495">
        <w:rPr>
          <w:rFonts w:ascii="Arial" w:hAnsi="Arial" w:cs="Arial"/>
          <w:sz w:val="22"/>
          <w:szCs w:val="22"/>
          <w:lang w:val="en-US"/>
        </w:rPr>
        <w:t xml:space="preserve"> one of 12 UK </w:t>
      </w:r>
      <w:proofErr w:type="spellStart"/>
      <w:r w:rsidRPr="00D86495">
        <w:rPr>
          <w:rFonts w:ascii="Arial" w:hAnsi="Arial" w:cs="Arial"/>
          <w:sz w:val="22"/>
          <w:szCs w:val="22"/>
          <w:lang w:val="en-US"/>
        </w:rPr>
        <w:t>centres</w:t>
      </w:r>
      <w:proofErr w:type="spellEnd"/>
      <w:r w:rsidRPr="00D86495">
        <w:rPr>
          <w:rFonts w:ascii="Arial" w:hAnsi="Arial" w:cs="Arial"/>
          <w:sz w:val="22"/>
          <w:szCs w:val="22"/>
          <w:lang w:val="en-US"/>
        </w:rPr>
        <w:t xml:space="preserve"> starting testing on 10 Fe</w:t>
      </w:r>
      <w:r>
        <w:rPr>
          <w:rFonts w:ascii="Arial" w:hAnsi="Arial" w:cs="Arial"/>
          <w:sz w:val="22"/>
          <w:szCs w:val="22"/>
          <w:lang w:val="en-US"/>
        </w:rPr>
        <w:t>bruary 2020;</w:t>
      </w:r>
      <w:r w:rsidRPr="00D86495">
        <w:rPr>
          <w:rFonts w:ascii="Arial" w:hAnsi="Arial" w:cs="Arial"/>
          <w:sz w:val="22"/>
          <w:szCs w:val="22"/>
          <w:lang w:val="en-US"/>
        </w:rPr>
        <w:t xml:space="preserve"> work by PHA to develop transfer protocols with HCIDU, guidance for GPs</w:t>
      </w:r>
      <w:r>
        <w:rPr>
          <w:rFonts w:ascii="Arial" w:hAnsi="Arial" w:cs="Arial"/>
          <w:sz w:val="22"/>
          <w:szCs w:val="22"/>
          <w:lang w:val="en-US"/>
        </w:rPr>
        <w:t>;</w:t>
      </w:r>
      <w:r w:rsidRPr="00D86495">
        <w:rPr>
          <w:rFonts w:ascii="Arial" w:hAnsi="Arial" w:cs="Arial"/>
          <w:sz w:val="22"/>
          <w:szCs w:val="22"/>
          <w:lang w:val="en-US"/>
        </w:rPr>
        <w:t xml:space="preserve"> leading coordination of work on the </w:t>
      </w:r>
      <w:r>
        <w:rPr>
          <w:rFonts w:ascii="Arial" w:hAnsi="Arial" w:cs="Arial"/>
          <w:sz w:val="22"/>
          <w:szCs w:val="22"/>
          <w:lang w:val="en-US"/>
        </w:rPr>
        <w:t>C</w:t>
      </w:r>
      <w:r w:rsidRPr="00D86495">
        <w:rPr>
          <w:rFonts w:ascii="Arial" w:hAnsi="Arial" w:cs="Arial"/>
          <w:sz w:val="22"/>
          <w:szCs w:val="22"/>
          <w:lang w:val="en-US"/>
        </w:rPr>
        <w:t xml:space="preserve">oronavirus </w:t>
      </w:r>
      <w:r>
        <w:rPr>
          <w:rFonts w:ascii="Arial" w:hAnsi="Arial" w:cs="Arial"/>
          <w:sz w:val="22"/>
          <w:szCs w:val="22"/>
          <w:lang w:val="en-US"/>
        </w:rPr>
        <w:t>A</w:t>
      </w:r>
      <w:r w:rsidRPr="00D86495">
        <w:rPr>
          <w:rFonts w:ascii="Arial" w:hAnsi="Arial" w:cs="Arial"/>
          <w:sz w:val="22"/>
          <w:szCs w:val="22"/>
          <w:lang w:val="en-US"/>
        </w:rPr>
        <w:t>ct</w:t>
      </w:r>
      <w:r>
        <w:rPr>
          <w:rFonts w:ascii="Arial" w:hAnsi="Arial" w:cs="Arial"/>
          <w:sz w:val="22"/>
          <w:szCs w:val="22"/>
          <w:lang w:val="en-US"/>
        </w:rPr>
        <w:t>;</w:t>
      </w:r>
      <w:r w:rsidRPr="00D86495">
        <w:rPr>
          <w:rFonts w:ascii="Arial" w:hAnsi="Arial" w:cs="Arial"/>
          <w:sz w:val="22"/>
          <w:szCs w:val="22"/>
          <w:lang w:val="en-US"/>
        </w:rPr>
        <w:t xml:space="preserve"> progressing legislation to make Covid-19 a notifiable disease</w:t>
      </w:r>
      <w:r>
        <w:rPr>
          <w:rFonts w:ascii="Arial" w:hAnsi="Arial" w:cs="Arial"/>
          <w:sz w:val="22"/>
          <w:szCs w:val="22"/>
          <w:lang w:val="en-US"/>
        </w:rPr>
        <w:t>;</w:t>
      </w:r>
      <w:r w:rsidRPr="00D86495">
        <w:rPr>
          <w:rFonts w:ascii="Arial" w:hAnsi="Arial" w:cs="Arial"/>
          <w:sz w:val="22"/>
          <w:szCs w:val="22"/>
          <w:lang w:val="en-US"/>
        </w:rPr>
        <w:t xml:space="preserve"> CMO meeting with HSCB/PHA on 11 Feb</w:t>
      </w:r>
      <w:r>
        <w:rPr>
          <w:rFonts w:ascii="Arial" w:hAnsi="Arial" w:cs="Arial"/>
          <w:sz w:val="22"/>
          <w:szCs w:val="22"/>
          <w:lang w:val="en-US"/>
        </w:rPr>
        <w:t>ruary</w:t>
      </w:r>
      <w:r w:rsidRPr="00D86495">
        <w:rPr>
          <w:rFonts w:ascii="Arial" w:hAnsi="Arial" w:cs="Arial"/>
          <w:sz w:val="22"/>
          <w:szCs w:val="22"/>
          <w:lang w:val="en-US"/>
        </w:rPr>
        <w:t xml:space="preserve"> </w:t>
      </w:r>
      <w:r>
        <w:rPr>
          <w:rFonts w:ascii="Arial" w:hAnsi="Arial" w:cs="Arial"/>
          <w:sz w:val="22"/>
          <w:szCs w:val="22"/>
          <w:lang w:val="en-US"/>
        </w:rPr>
        <w:t xml:space="preserve">2020; </w:t>
      </w:r>
      <w:r w:rsidRPr="00D86495">
        <w:rPr>
          <w:rFonts w:ascii="Arial" w:hAnsi="Arial" w:cs="Arial"/>
          <w:sz w:val="22"/>
          <w:szCs w:val="22"/>
          <w:lang w:val="en-US"/>
        </w:rPr>
        <w:t xml:space="preserve">and </w:t>
      </w:r>
      <w:r>
        <w:rPr>
          <w:rFonts w:ascii="Arial" w:hAnsi="Arial" w:cs="Arial"/>
          <w:sz w:val="22"/>
          <w:szCs w:val="22"/>
          <w:lang w:val="en-US"/>
        </w:rPr>
        <w:t xml:space="preserve">the preparation of arrangements incorporated into the </w:t>
      </w:r>
      <w:r w:rsidRPr="00D86495">
        <w:rPr>
          <w:rFonts w:ascii="Arial" w:hAnsi="Arial" w:cs="Arial"/>
          <w:sz w:val="22"/>
          <w:szCs w:val="22"/>
          <w:lang w:val="en-US"/>
        </w:rPr>
        <w:t>letter of 17 Feb</w:t>
      </w:r>
      <w:r>
        <w:rPr>
          <w:rFonts w:ascii="Arial" w:hAnsi="Arial" w:cs="Arial"/>
          <w:sz w:val="22"/>
          <w:szCs w:val="22"/>
          <w:lang w:val="en-US"/>
        </w:rPr>
        <w:t>ruary 2020</w:t>
      </w:r>
      <w:r w:rsidRPr="00D86495">
        <w:rPr>
          <w:rFonts w:ascii="Arial" w:hAnsi="Arial" w:cs="Arial"/>
          <w:sz w:val="22"/>
          <w:szCs w:val="22"/>
          <w:lang w:val="en-US"/>
        </w:rPr>
        <w:t xml:space="preserve"> regarding surge planning. Exercise Nimbus took place on 12 February 2020, </w:t>
      </w:r>
      <w:r>
        <w:rPr>
          <w:rFonts w:ascii="Arial" w:hAnsi="Arial" w:cs="Arial"/>
          <w:sz w:val="22"/>
          <w:szCs w:val="22"/>
          <w:lang w:val="en-US"/>
        </w:rPr>
        <w:t>and Minister Swann</w:t>
      </w:r>
      <w:r w:rsidRPr="00D86495">
        <w:rPr>
          <w:rFonts w:ascii="Arial" w:hAnsi="Arial" w:cs="Arial"/>
          <w:sz w:val="22"/>
          <w:szCs w:val="22"/>
          <w:lang w:val="en-US"/>
        </w:rPr>
        <w:t xml:space="preserve"> and DoH officials attended.  </w:t>
      </w:r>
    </w:p>
    <w:p w14:paraId="6F27821D" w14:textId="77777777" w:rsidR="00CD1632" w:rsidRPr="00D86495" w:rsidRDefault="00CD1632" w:rsidP="00CD1632">
      <w:pPr>
        <w:pStyle w:val="ListParagraph"/>
        <w:spacing w:line="276" w:lineRule="auto"/>
        <w:jc w:val="both"/>
        <w:rPr>
          <w:rFonts w:ascii="Arial" w:hAnsi="Arial" w:cs="Arial"/>
          <w:sz w:val="22"/>
          <w:szCs w:val="22"/>
          <w:lang w:val="en-US"/>
        </w:rPr>
      </w:pPr>
    </w:p>
    <w:p w14:paraId="59B794E9" w14:textId="70632F16"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first case of Covid-19 was identified in NI </w:t>
      </w:r>
      <w:r>
        <w:rPr>
          <w:rFonts w:ascii="Arial" w:hAnsi="Arial" w:cs="Arial"/>
          <w:sz w:val="22"/>
          <w:szCs w:val="22"/>
          <w:lang w:val="en-US"/>
        </w:rPr>
        <w:t>on</w:t>
      </w:r>
      <w:r w:rsidRPr="00D86495">
        <w:rPr>
          <w:rFonts w:ascii="Arial" w:hAnsi="Arial" w:cs="Arial"/>
          <w:sz w:val="22"/>
          <w:szCs w:val="22"/>
          <w:lang w:val="en-US"/>
        </w:rPr>
        <w:t xml:space="preserve"> 27 February 2020. The </w:t>
      </w:r>
      <w:r>
        <w:rPr>
          <w:rFonts w:ascii="Arial" w:hAnsi="Arial" w:cs="Arial"/>
          <w:sz w:val="22"/>
          <w:szCs w:val="22"/>
          <w:lang w:val="en-US"/>
        </w:rPr>
        <w:t xml:space="preserve">Minister, the CMO </w:t>
      </w:r>
      <w:r w:rsidRPr="00D86495">
        <w:rPr>
          <w:rFonts w:ascii="Arial" w:hAnsi="Arial" w:cs="Arial"/>
          <w:sz w:val="22"/>
          <w:szCs w:val="22"/>
          <w:lang w:val="en-US"/>
        </w:rPr>
        <w:t xml:space="preserve">and DoH </w:t>
      </w:r>
      <w:r>
        <w:rPr>
          <w:rFonts w:ascii="Arial" w:hAnsi="Arial" w:cs="Arial"/>
          <w:sz w:val="22"/>
          <w:szCs w:val="22"/>
          <w:lang w:val="en-US"/>
        </w:rPr>
        <w:t xml:space="preserve">more generally had </w:t>
      </w:r>
      <w:r w:rsidR="005B2D3C">
        <w:rPr>
          <w:rFonts w:ascii="Arial" w:hAnsi="Arial" w:cs="Arial"/>
          <w:sz w:val="22"/>
          <w:szCs w:val="22"/>
          <w:lang w:val="en-US"/>
        </w:rPr>
        <w:t xml:space="preserve">conveyed the appropriate message </w:t>
      </w:r>
      <w:r w:rsidRPr="00D86495">
        <w:rPr>
          <w:rFonts w:ascii="Arial" w:hAnsi="Arial" w:cs="Arial"/>
          <w:sz w:val="22"/>
          <w:szCs w:val="22"/>
          <w:lang w:val="en-US"/>
        </w:rPr>
        <w:t xml:space="preserve">widely and </w:t>
      </w:r>
      <w:r w:rsidR="005B2D3C">
        <w:rPr>
          <w:rFonts w:ascii="Arial" w:hAnsi="Arial" w:cs="Arial"/>
          <w:sz w:val="22"/>
          <w:szCs w:val="22"/>
          <w:lang w:val="en-US"/>
        </w:rPr>
        <w:t xml:space="preserve">robustly </w:t>
      </w:r>
      <w:r w:rsidRPr="00D86495">
        <w:rPr>
          <w:rFonts w:ascii="Arial" w:hAnsi="Arial" w:cs="Arial"/>
          <w:sz w:val="22"/>
          <w:szCs w:val="22"/>
          <w:lang w:val="en-US"/>
        </w:rPr>
        <w:t xml:space="preserve">throughout the period leading up to </w:t>
      </w:r>
      <w:r>
        <w:rPr>
          <w:rFonts w:ascii="Arial" w:hAnsi="Arial" w:cs="Arial"/>
          <w:sz w:val="22"/>
          <w:szCs w:val="22"/>
          <w:lang w:val="en-US"/>
        </w:rPr>
        <w:t>that point</w:t>
      </w:r>
      <w:r w:rsidRPr="00D86495">
        <w:rPr>
          <w:rFonts w:ascii="Arial" w:hAnsi="Arial" w:cs="Arial"/>
          <w:sz w:val="22"/>
          <w:szCs w:val="22"/>
          <w:lang w:val="en-US"/>
        </w:rPr>
        <w:t xml:space="preserve">. The issue of preparedness and the need for work to be done across departments was plainly and prominently set out by </w:t>
      </w:r>
      <w:r>
        <w:rPr>
          <w:rFonts w:ascii="Arial" w:hAnsi="Arial" w:cs="Arial"/>
          <w:sz w:val="22"/>
          <w:szCs w:val="22"/>
          <w:lang w:val="en-US"/>
        </w:rPr>
        <w:t>the Minister</w:t>
      </w:r>
      <w:r w:rsidRPr="00D86495">
        <w:rPr>
          <w:rFonts w:ascii="Arial" w:hAnsi="Arial" w:cs="Arial"/>
          <w:sz w:val="22"/>
          <w:szCs w:val="22"/>
          <w:lang w:val="en-US"/>
        </w:rPr>
        <w:t xml:space="preserve"> and DoH. </w:t>
      </w:r>
    </w:p>
    <w:p w14:paraId="72D88A94" w14:textId="77777777" w:rsidR="00CD1632" w:rsidRPr="00D86495" w:rsidRDefault="00CD1632" w:rsidP="00CD1632">
      <w:pPr>
        <w:pStyle w:val="ListParagraph"/>
        <w:spacing w:line="276" w:lineRule="auto"/>
        <w:jc w:val="both"/>
        <w:rPr>
          <w:rFonts w:ascii="Arial" w:hAnsi="Arial" w:cs="Arial"/>
          <w:sz w:val="22"/>
          <w:szCs w:val="22"/>
          <w:lang w:val="en-US"/>
        </w:rPr>
      </w:pPr>
    </w:p>
    <w:p w14:paraId="78494B18" w14:textId="77777777" w:rsidR="00CD1632" w:rsidRPr="00D86495" w:rsidRDefault="00CD1632" w:rsidP="00CD1632">
      <w:pPr>
        <w:pStyle w:val="ListParagraph"/>
        <w:numPr>
          <w:ilvl w:val="0"/>
          <w:numId w:val="7"/>
        </w:numPr>
        <w:spacing w:line="276" w:lineRule="auto"/>
        <w:jc w:val="both"/>
        <w:rPr>
          <w:rFonts w:ascii="Arial" w:hAnsi="Arial" w:cs="Arial"/>
          <w:strike/>
          <w:sz w:val="22"/>
          <w:szCs w:val="22"/>
          <w:lang w:val="en-US"/>
        </w:rPr>
      </w:pPr>
      <w:r w:rsidRPr="00D86495">
        <w:rPr>
          <w:rFonts w:ascii="Arial" w:hAnsi="Arial" w:cs="Arial"/>
          <w:sz w:val="22"/>
          <w:szCs w:val="22"/>
          <w:lang w:val="en-US"/>
        </w:rPr>
        <w:t>A 27 February 2020 letter from CCPB to Chris Stewart</w:t>
      </w:r>
      <w:r w:rsidRPr="00D86495">
        <w:rPr>
          <w:rStyle w:val="FootnoteReference"/>
          <w:rFonts w:ascii="Arial" w:hAnsi="Arial" w:cs="Arial"/>
          <w:sz w:val="22"/>
          <w:szCs w:val="22"/>
          <w:lang w:val="en-US"/>
        </w:rPr>
        <w:footnoteReference w:id="31"/>
      </w:r>
      <w:r w:rsidRPr="00D86495">
        <w:rPr>
          <w:rFonts w:ascii="Arial" w:hAnsi="Arial" w:cs="Arial"/>
          <w:sz w:val="22"/>
          <w:szCs w:val="22"/>
          <w:lang w:val="en-US"/>
        </w:rPr>
        <w:t xml:space="preserve"> stated: “</w:t>
      </w:r>
      <w:r w:rsidRPr="00D86495">
        <w:rPr>
          <w:rFonts w:ascii="Arial" w:hAnsi="Arial" w:cs="Arial"/>
          <w:i/>
          <w:iCs/>
          <w:sz w:val="22"/>
          <w:szCs w:val="22"/>
          <w:lang w:val="en-US"/>
        </w:rPr>
        <w:t>It is now essential that appropriate preparations for civil contingency arrangements are formally established with appropriate supporting infrastructure to provide effective support to the Executive and to enable NI to provide an appropriate response to managing a Reasonable Worst Case Scenario.</w:t>
      </w:r>
      <w:r w:rsidRPr="00D86495">
        <w:rPr>
          <w:rFonts w:ascii="Arial" w:hAnsi="Arial" w:cs="Arial"/>
          <w:sz w:val="22"/>
          <w:szCs w:val="22"/>
          <w:lang w:val="en-US"/>
        </w:rPr>
        <w:t>”</w:t>
      </w:r>
    </w:p>
    <w:p w14:paraId="2ED2D72C" w14:textId="77777777" w:rsidR="00CD1632" w:rsidRPr="00D86495" w:rsidRDefault="00CD1632" w:rsidP="00CD1632">
      <w:pPr>
        <w:pStyle w:val="ListParagraph"/>
        <w:spacing w:line="276" w:lineRule="auto"/>
        <w:jc w:val="both"/>
        <w:rPr>
          <w:rFonts w:ascii="Arial" w:hAnsi="Arial" w:cs="Arial"/>
          <w:strike/>
          <w:sz w:val="22"/>
          <w:szCs w:val="22"/>
          <w:lang w:val="en-US"/>
        </w:rPr>
      </w:pPr>
    </w:p>
    <w:p w14:paraId="29200E23" w14:textId="2FB050A0" w:rsidR="00CD1632" w:rsidRDefault="00CD1632" w:rsidP="00CD1632">
      <w:pPr>
        <w:pStyle w:val="ListParagraph"/>
        <w:numPr>
          <w:ilvl w:val="0"/>
          <w:numId w:val="7"/>
        </w:numPr>
        <w:spacing w:line="276" w:lineRule="auto"/>
        <w:jc w:val="both"/>
        <w:rPr>
          <w:rFonts w:ascii="Arial" w:hAnsi="Arial" w:cs="Arial"/>
          <w:sz w:val="22"/>
          <w:szCs w:val="22"/>
          <w:lang w:val="en-US"/>
        </w:rPr>
      </w:pPr>
      <w:r w:rsidRPr="008D5D80">
        <w:rPr>
          <w:rFonts w:ascii="Arial" w:hAnsi="Arial" w:cs="Arial"/>
          <w:sz w:val="22"/>
          <w:szCs w:val="22"/>
          <w:lang w:val="en-US"/>
        </w:rPr>
        <w:t>In a Memorandum</w:t>
      </w:r>
      <w:r w:rsidRPr="00D86495">
        <w:rPr>
          <w:rStyle w:val="FootnoteReference"/>
          <w:rFonts w:ascii="Arial" w:hAnsi="Arial" w:cs="Arial"/>
          <w:sz w:val="22"/>
          <w:szCs w:val="22"/>
          <w:lang w:val="en-US"/>
        </w:rPr>
        <w:footnoteReference w:id="32"/>
      </w:r>
      <w:r w:rsidRPr="008D5D80">
        <w:rPr>
          <w:rFonts w:ascii="Arial" w:hAnsi="Arial" w:cs="Arial"/>
          <w:sz w:val="22"/>
          <w:szCs w:val="22"/>
          <w:lang w:val="en-US"/>
        </w:rPr>
        <w:t xml:space="preserve"> of 3 March 2020 TEO officials advised the FM and </w:t>
      </w:r>
      <w:proofErr w:type="spellStart"/>
      <w:r w:rsidRPr="008D5D80">
        <w:rPr>
          <w:rFonts w:ascii="Arial" w:hAnsi="Arial" w:cs="Arial"/>
          <w:sz w:val="22"/>
          <w:szCs w:val="22"/>
          <w:lang w:val="en-US"/>
        </w:rPr>
        <w:t>dFM</w:t>
      </w:r>
      <w:proofErr w:type="spellEnd"/>
      <w:r w:rsidRPr="008D5D80">
        <w:rPr>
          <w:rFonts w:ascii="Arial" w:hAnsi="Arial" w:cs="Arial"/>
          <w:sz w:val="22"/>
          <w:szCs w:val="22"/>
          <w:lang w:val="en-US"/>
        </w:rPr>
        <w:t xml:space="preserve"> about the  activation of NICCMA and cross government coordination, and at paragraph 5 stated: “</w:t>
      </w:r>
      <w:r w:rsidRPr="008D5D80">
        <w:rPr>
          <w:rFonts w:ascii="Arial" w:hAnsi="Arial" w:cs="Arial"/>
          <w:i/>
          <w:iCs/>
          <w:sz w:val="22"/>
          <w:szCs w:val="22"/>
          <w:lang w:val="en-US"/>
        </w:rPr>
        <w:t>As the preparations move beyond the health space there is an increasing need for co-ordination of the wider non health work. Coordination of the wider preparedness fall to TEO albeit in close collaboration with and guided by DoH</w:t>
      </w:r>
      <w:r w:rsidRPr="008D5D80">
        <w:rPr>
          <w:rFonts w:ascii="Arial" w:hAnsi="Arial" w:cs="Arial"/>
          <w:sz w:val="22"/>
          <w:szCs w:val="22"/>
          <w:lang w:val="en-US"/>
        </w:rPr>
        <w:t>”… “</w:t>
      </w:r>
      <w:r w:rsidRPr="008D5D80">
        <w:rPr>
          <w:rFonts w:ascii="Arial" w:hAnsi="Arial" w:cs="Arial"/>
          <w:i/>
          <w:iCs/>
          <w:sz w:val="22"/>
          <w:szCs w:val="22"/>
          <w:lang w:val="en-US"/>
        </w:rPr>
        <w:t>The Civil Contingencies Group is the principle strategic coordination group responsible for setting the overarching strategy for the non-health response to a Covid-19 outbreak here.</w:t>
      </w:r>
      <w:r w:rsidRPr="008D5D80">
        <w:rPr>
          <w:rFonts w:ascii="Arial" w:hAnsi="Arial" w:cs="Arial"/>
          <w:sz w:val="22"/>
          <w:szCs w:val="22"/>
          <w:lang w:val="en-US"/>
        </w:rPr>
        <w:t xml:space="preserve">” Indeed, TEO had led DoH to believe that NICCMA was in “soft stand up” from </w:t>
      </w:r>
      <w:r w:rsidR="008D5D80">
        <w:rPr>
          <w:rFonts w:ascii="Arial" w:hAnsi="Arial" w:cs="Arial"/>
          <w:sz w:val="22"/>
          <w:szCs w:val="22"/>
          <w:lang w:val="en-US"/>
        </w:rPr>
        <w:t>early</w:t>
      </w:r>
      <w:r w:rsidRPr="008D5D80">
        <w:rPr>
          <w:rFonts w:ascii="Arial" w:hAnsi="Arial" w:cs="Arial"/>
          <w:sz w:val="22"/>
          <w:szCs w:val="22"/>
          <w:lang w:val="en-US"/>
        </w:rPr>
        <w:t xml:space="preserve"> March 2020 </w:t>
      </w:r>
      <w:r w:rsidR="008D5D80" w:rsidRPr="008D5D80">
        <w:rPr>
          <w:rFonts w:ascii="Arial" w:hAnsi="Arial" w:cs="Arial"/>
          <w:sz w:val="22"/>
          <w:szCs w:val="22"/>
          <w:lang w:val="en-US"/>
        </w:rPr>
        <w:t xml:space="preserve">(INQ000309229). </w:t>
      </w:r>
    </w:p>
    <w:p w14:paraId="30F32A8A" w14:textId="77777777" w:rsidR="008D5D80" w:rsidRPr="008D5D80" w:rsidRDefault="008D5D80" w:rsidP="008D5D80">
      <w:pPr>
        <w:pStyle w:val="ListParagraph"/>
        <w:rPr>
          <w:rFonts w:ascii="Arial" w:hAnsi="Arial" w:cs="Arial"/>
          <w:sz w:val="22"/>
          <w:szCs w:val="22"/>
          <w:lang w:val="en-US"/>
        </w:rPr>
      </w:pPr>
    </w:p>
    <w:p w14:paraId="4DCB1B12"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From early February 2020 TEO attend</w:t>
      </w:r>
      <w:r>
        <w:rPr>
          <w:rFonts w:ascii="Arial" w:hAnsi="Arial" w:cs="Arial"/>
          <w:sz w:val="22"/>
          <w:szCs w:val="22"/>
          <w:lang w:val="en-US"/>
        </w:rPr>
        <w:t xml:space="preserve">ed </w:t>
      </w:r>
      <w:r w:rsidRPr="00D86495">
        <w:rPr>
          <w:rFonts w:ascii="Arial" w:hAnsi="Arial" w:cs="Arial"/>
          <w:sz w:val="22"/>
          <w:szCs w:val="22"/>
          <w:lang w:val="en-US"/>
        </w:rPr>
        <w:t xml:space="preserve">meetings with COBR and were </w:t>
      </w:r>
      <w:r>
        <w:rPr>
          <w:rFonts w:ascii="Arial" w:hAnsi="Arial" w:cs="Arial"/>
          <w:sz w:val="22"/>
          <w:szCs w:val="22"/>
          <w:lang w:val="en-US"/>
        </w:rPr>
        <w:t xml:space="preserve">privy to all information that </w:t>
      </w:r>
      <w:r w:rsidRPr="00D86495">
        <w:rPr>
          <w:rFonts w:ascii="Arial" w:hAnsi="Arial" w:cs="Arial"/>
          <w:sz w:val="22"/>
          <w:szCs w:val="22"/>
          <w:lang w:val="en-US"/>
        </w:rPr>
        <w:t>D</w:t>
      </w:r>
      <w:r>
        <w:rPr>
          <w:rFonts w:ascii="Arial" w:hAnsi="Arial" w:cs="Arial"/>
          <w:sz w:val="22"/>
          <w:szCs w:val="22"/>
          <w:lang w:val="en-US"/>
        </w:rPr>
        <w:t>o</w:t>
      </w:r>
      <w:r w:rsidRPr="00D86495">
        <w:rPr>
          <w:rFonts w:ascii="Arial" w:hAnsi="Arial" w:cs="Arial"/>
          <w:sz w:val="22"/>
          <w:szCs w:val="22"/>
          <w:lang w:val="en-US"/>
        </w:rPr>
        <w:t xml:space="preserve">H </w:t>
      </w:r>
      <w:r>
        <w:rPr>
          <w:rFonts w:ascii="Arial" w:hAnsi="Arial" w:cs="Arial"/>
          <w:sz w:val="22"/>
          <w:szCs w:val="22"/>
          <w:lang w:val="en-US"/>
        </w:rPr>
        <w:t>was informed of, and so were well placed to assess and advise on</w:t>
      </w:r>
      <w:r w:rsidRPr="00D86495">
        <w:rPr>
          <w:rFonts w:ascii="Arial" w:hAnsi="Arial" w:cs="Arial"/>
          <w:sz w:val="22"/>
          <w:szCs w:val="22"/>
          <w:lang w:val="en-US"/>
        </w:rPr>
        <w:t xml:space="preserve"> </w:t>
      </w:r>
      <w:r>
        <w:rPr>
          <w:rFonts w:ascii="Arial" w:hAnsi="Arial" w:cs="Arial"/>
          <w:sz w:val="22"/>
          <w:szCs w:val="22"/>
          <w:lang w:val="en-US"/>
        </w:rPr>
        <w:t>the</w:t>
      </w:r>
      <w:r w:rsidRPr="00D86495">
        <w:rPr>
          <w:rFonts w:ascii="Arial" w:hAnsi="Arial" w:cs="Arial"/>
          <w:sz w:val="22"/>
          <w:szCs w:val="22"/>
          <w:lang w:val="en-US"/>
        </w:rPr>
        <w:t xml:space="preserve"> requirements for all dep</w:t>
      </w:r>
      <w:r>
        <w:rPr>
          <w:rFonts w:ascii="Arial" w:hAnsi="Arial" w:cs="Arial"/>
          <w:sz w:val="22"/>
          <w:szCs w:val="22"/>
          <w:lang w:val="en-US"/>
        </w:rPr>
        <w:t>artmen</w:t>
      </w:r>
      <w:r w:rsidRPr="00D86495">
        <w:rPr>
          <w:rFonts w:ascii="Arial" w:hAnsi="Arial" w:cs="Arial"/>
          <w:sz w:val="22"/>
          <w:szCs w:val="22"/>
          <w:lang w:val="en-US"/>
        </w:rPr>
        <w:t xml:space="preserve">ts and their ALBs to plan based on </w:t>
      </w:r>
      <w:r>
        <w:rPr>
          <w:rFonts w:ascii="Arial" w:hAnsi="Arial" w:cs="Arial"/>
          <w:sz w:val="22"/>
          <w:szCs w:val="22"/>
          <w:lang w:val="en-US"/>
        </w:rPr>
        <w:t xml:space="preserve">the </w:t>
      </w:r>
      <w:r w:rsidRPr="00D86495">
        <w:rPr>
          <w:rFonts w:ascii="Arial" w:hAnsi="Arial" w:cs="Arial"/>
          <w:sz w:val="22"/>
          <w:szCs w:val="22"/>
          <w:lang w:val="en-US"/>
        </w:rPr>
        <w:t>RWCS.</w:t>
      </w:r>
    </w:p>
    <w:p w14:paraId="03DA70E3" w14:textId="77777777" w:rsidR="00CD1632" w:rsidRPr="00D86495" w:rsidRDefault="00CD1632" w:rsidP="00CD1632">
      <w:pPr>
        <w:pStyle w:val="ListParagraph"/>
        <w:spacing w:line="276" w:lineRule="auto"/>
        <w:jc w:val="both"/>
        <w:rPr>
          <w:rFonts w:ascii="Arial" w:hAnsi="Arial" w:cs="Arial"/>
          <w:sz w:val="22"/>
          <w:szCs w:val="22"/>
          <w:lang w:val="en-US"/>
        </w:rPr>
      </w:pPr>
    </w:p>
    <w:p w14:paraId="6E2964CB"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It is overly simplistic to solely consider what the DoH Minister or officials told Executive Ministers. It is submitted that there was a reasonable expectation, based on the briefing being provided by DoH to officials in other departments, that th</w:t>
      </w:r>
      <w:r>
        <w:rPr>
          <w:rFonts w:ascii="Arial" w:hAnsi="Arial" w:cs="Arial"/>
          <w:sz w:val="22"/>
          <w:szCs w:val="22"/>
          <w:lang w:val="en-US"/>
        </w:rPr>
        <w:t>ose officers</w:t>
      </w:r>
      <w:r w:rsidRPr="00D86495">
        <w:rPr>
          <w:rFonts w:ascii="Arial" w:hAnsi="Arial" w:cs="Arial"/>
          <w:sz w:val="22"/>
          <w:szCs w:val="22"/>
          <w:lang w:val="en-US"/>
        </w:rPr>
        <w:t xml:space="preserve"> would take action to assess the impact within their policy areas, and that they would brief their </w:t>
      </w:r>
      <w:r>
        <w:rPr>
          <w:rFonts w:ascii="Arial" w:hAnsi="Arial" w:cs="Arial"/>
          <w:sz w:val="22"/>
          <w:szCs w:val="22"/>
          <w:lang w:val="en-US"/>
        </w:rPr>
        <w:t>M</w:t>
      </w:r>
      <w:r w:rsidRPr="00D86495">
        <w:rPr>
          <w:rFonts w:ascii="Arial" w:hAnsi="Arial" w:cs="Arial"/>
          <w:sz w:val="22"/>
          <w:szCs w:val="22"/>
          <w:lang w:val="en-US"/>
        </w:rPr>
        <w:t>inisters on the implications for their respective departments, based on their own insight into the condition of preparation in</w:t>
      </w:r>
      <w:r>
        <w:rPr>
          <w:rFonts w:ascii="Arial" w:hAnsi="Arial" w:cs="Arial"/>
          <w:sz w:val="22"/>
          <w:szCs w:val="22"/>
          <w:lang w:val="en-US"/>
        </w:rPr>
        <w:t xml:space="preserve"> their own department</w:t>
      </w:r>
      <w:r w:rsidRPr="00D86495">
        <w:rPr>
          <w:rFonts w:ascii="Arial" w:hAnsi="Arial" w:cs="Arial"/>
          <w:sz w:val="22"/>
          <w:szCs w:val="22"/>
          <w:lang w:val="en-US"/>
        </w:rPr>
        <w:t>.  This is particularly the case as the D</w:t>
      </w:r>
      <w:r>
        <w:rPr>
          <w:rFonts w:ascii="Arial" w:hAnsi="Arial" w:cs="Arial"/>
          <w:sz w:val="22"/>
          <w:szCs w:val="22"/>
          <w:lang w:val="en-US"/>
        </w:rPr>
        <w:t>o</w:t>
      </w:r>
      <w:r w:rsidRPr="00D86495">
        <w:rPr>
          <w:rFonts w:ascii="Arial" w:hAnsi="Arial" w:cs="Arial"/>
          <w:sz w:val="22"/>
          <w:szCs w:val="22"/>
          <w:lang w:val="en-US"/>
        </w:rPr>
        <w:t xml:space="preserve">H </w:t>
      </w:r>
      <w:r>
        <w:rPr>
          <w:rFonts w:ascii="Arial" w:hAnsi="Arial" w:cs="Arial"/>
          <w:sz w:val="22"/>
          <w:szCs w:val="22"/>
          <w:lang w:val="en-US"/>
        </w:rPr>
        <w:t>was</w:t>
      </w:r>
      <w:r w:rsidRPr="00D86495">
        <w:rPr>
          <w:rFonts w:ascii="Arial" w:hAnsi="Arial" w:cs="Arial"/>
          <w:sz w:val="22"/>
          <w:szCs w:val="22"/>
          <w:lang w:val="en-US"/>
        </w:rPr>
        <w:t xml:space="preserve"> unsighted as to the level of preparedness of other departments. It is contended that it was reasonable for D</w:t>
      </w:r>
      <w:r>
        <w:rPr>
          <w:rFonts w:ascii="Arial" w:hAnsi="Arial" w:cs="Arial"/>
          <w:sz w:val="22"/>
          <w:szCs w:val="22"/>
          <w:lang w:val="en-US"/>
        </w:rPr>
        <w:t>o</w:t>
      </w:r>
      <w:r w:rsidRPr="00D86495">
        <w:rPr>
          <w:rFonts w:ascii="Arial" w:hAnsi="Arial" w:cs="Arial"/>
          <w:sz w:val="22"/>
          <w:szCs w:val="22"/>
          <w:lang w:val="en-US"/>
        </w:rPr>
        <w:t xml:space="preserve">H to work on the basis that those departments would do their own sectoral analysis and brief their </w:t>
      </w:r>
      <w:r>
        <w:rPr>
          <w:rFonts w:ascii="Arial" w:hAnsi="Arial" w:cs="Arial"/>
          <w:sz w:val="22"/>
          <w:szCs w:val="22"/>
          <w:lang w:val="en-US"/>
        </w:rPr>
        <w:t>M</w:t>
      </w:r>
      <w:r w:rsidRPr="00D86495">
        <w:rPr>
          <w:rFonts w:ascii="Arial" w:hAnsi="Arial" w:cs="Arial"/>
          <w:sz w:val="22"/>
          <w:szCs w:val="22"/>
          <w:lang w:val="en-US"/>
        </w:rPr>
        <w:t xml:space="preserve">inisters as appropriate. </w:t>
      </w:r>
    </w:p>
    <w:p w14:paraId="450C9FA8" w14:textId="77777777" w:rsidR="00CD1632" w:rsidRDefault="00CD1632" w:rsidP="00CD1632">
      <w:pPr>
        <w:pStyle w:val="NormalWeb"/>
        <w:numPr>
          <w:ilvl w:val="0"/>
          <w:numId w:val="7"/>
        </w:numPr>
        <w:spacing w:line="276" w:lineRule="auto"/>
        <w:jc w:val="both"/>
        <w:rPr>
          <w:rFonts w:ascii="Arial" w:hAnsi="Arial" w:cs="Arial"/>
          <w:color w:val="000000"/>
        </w:rPr>
      </w:pPr>
      <w:r w:rsidRPr="00D86495">
        <w:rPr>
          <w:rFonts w:ascii="Arial" w:hAnsi="Arial" w:cs="Arial"/>
          <w:lang w:val="en-US"/>
        </w:rPr>
        <w:t>Seven public updates to the NI Assembly were also provided by M</w:t>
      </w:r>
      <w:r>
        <w:rPr>
          <w:rFonts w:ascii="Arial" w:hAnsi="Arial" w:cs="Arial"/>
          <w:lang w:val="en-US"/>
        </w:rPr>
        <w:t>inister Swann</w:t>
      </w:r>
      <w:r w:rsidRPr="00D86495">
        <w:rPr>
          <w:rFonts w:ascii="Arial" w:hAnsi="Arial" w:cs="Arial"/>
          <w:lang w:val="en-US"/>
        </w:rPr>
        <w:t xml:space="preserve"> in the period </w:t>
      </w:r>
      <w:r>
        <w:rPr>
          <w:rFonts w:ascii="Arial" w:hAnsi="Arial" w:cs="Arial"/>
          <w:lang w:val="en-US"/>
        </w:rPr>
        <w:t xml:space="preserve">from </w:t>
      </w:r>
      <w:r w:rsidRPr="00D86495">
        <w:rPr>
          <w:rFonts w:ascii="Arial" w:hAnsi="Arial" w:cs="Arial"/>
          <w:lang w:val="en-US"/>
        </w:rPr>
        <w:t xml:space="preserve">14 January to 19 March 2020. </w:t>
      </w:r>
      <w:r w:rsidRPr="00D86495">
        <w:rPr>
          <w:rFonts w:ascii="Arial" w:hAnsi="Arial" w:cs="Arial"/>
          <w:color w:val="000000"/>
        </w:rPr>
        <w:t>Those seven statements</w:t>
      </w:r>
      <w:r w:rsidRPr="00D86495">
        <w:rPr>
          <w:rStyle w:val="FootnoteReference"/>
          <w:rFonts w:ascii="Arial" w:hAnsi="Arial" w:cs="Arial"/>
          <w:color w:val="000000"/>
        </w:rPr>
        <w:footnoteReference w:id="33"/>
      </w:r>
      <w:r w:rsidRPr="00D86495">
        <w:rPr>
          <w:rFonts w:ascii="Arial" w:hAnsi="Arial" w:cs="Arial"/>
          <w:color w:val="000000"/>
        </w:rPr>
        <w:t xml:space="preserve"> made by Minister Swann to the Assembly powerfully demonstrate how open </w:t>
      </w:r>
      <w:r>
        <w:rPr>
          <w:rFonts w:ascii="Arial" w:hAnsi="Arial" w:cs="Arial"/>
          <w:color w:val="000000"/>
        </w:rPr>
        <w:t>DoH</w:t>
      </w:r>
      <w:r w:rsidRPr="00D86495">
        <w:rPr>
          <w:rFonts w:ascii="Arial" w:hAnsi="Arial" w:cs="Arial"/>
          <w:color w:val="000000"/>
        </w:rPr>
        <w:t xml:space="preserve"> was with the information it had at the time.  It is clear that a robust message was delivered in Minister Swann’s statements to the Assembly during those early weeks preceding the pandemic.  This message clearly articulated the evolving situation.  Right up to the point when the WHO declared the global pandemic on 11 March 2020, the DoH’s focus was on providing information on and reassurance to the Assembly and the wider society regarding the plans that were in place to deal with the virus.  Moreover, as the information about the pandemic increased, the statements reflected the change in the evolving situation.</w:t>
      </w:r>
    </w:p>
    <w:p w14:paraId="1055B6B1" w14:textId="77777777" w:rsidR="00CD1632" w:rsidRDefault="00CD1632" w:rsidP="00CD1632">
      <w:pPr>
        <w:pStyle w:val="NormalWeb"/>
        <w:spacing w:line="276" w:lineRule="auto"/>
        <w:ind w:left="720"/>
        <w:jc w:val="both"/>
        <w:rPr>
          <w:rFonts w:ascii="Arial" w:hAnsi="Arial" w:cs="Arial"/>
          <w:color w:val="000000"/>
        </w:rPr>
      </w:pPr>
    </w:p>
    <w:p w14:paraId="434E62CB"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The Department refers to the expert oral evidence provided to the Inquiry from Professors Gray and O’Connor as being an objective assessment of the position.  The expert evidence from Professors Gray and O’Connor supported the thesis that it was for TEO, not D</w:t>
      </w:r>
      <w:r>
        <w:rPr>
          <w:rFonts w:ascii="Arial" w:hAnsi="Arial" w:cs="Arial"/>
          <w:sz w:val="22"/>
          <w:szCs w:val="22"/>
          <w:lang w:val="en-US"/>
        </w:rPr>
        <w:t>o</w:t>
      </w:r>
      <w:r w:rsidRPr="00D86495">
        <w:rPr>
          <w:rFonts w:ascii="Arial" w:hAnsi="Arial" w:cs="Arial"/>
          <w:sz w:val="22"/>
          <w:szCs w:val="22"/>
          <w:lang w:val="en-US"/>
        </w:rPr>
        <w:t xml:space="preserve">H, to cross-coordinate the response to the pandemic.  Professor O'Connor also concurred with the view expressed by the Department and the CMO, viz., that standing up the </w:t>
      </w:r>
      <w:r>
        <w:rPr>
          <w:rFonts w:ascii="Arial" w:hAnsi="Arial" w:cs="Arial"/>
          <w:sz w:val="22"/>
          <w:szCs w:val="22"/>
          <w:lang w:val="en-US"/>
        </w:rPr>
        <w:t xml:space="preserve">NI </w:t>
      </w:r>
      <w:r w:rsidRPr="00D86495">
        <w:rPr>
          <w:rFonts w:ascii="Arial" w:hAnsi="Arial" w:cs="Arial"/>
          <w:sz w:val="22"/>
          <w:szCs w:val="22"/>
          <w:lang w:val="en-US"/>
        </w:rPr>
        <w:t xml:space="preserve">Hub inevitably mean that scarce resources were redirected away from other essential preparatory tasks for the pandemic.  The consequence of this is that the decision to activate NICCMA and stand up the </w:t>
      </w:r>
      <w:r>
        <w:rPr>
          <w:rFonts w:ascii="Arial" w:hAnsi="Arial" w:cs="Arial"/>
          <w:sz w:val="22"/>
          <w:szCs w:val="22"/>
          <w:lang w:val="en-US"/>
        </w:rPr>
        <w:t xml:space="preserve">NI </w:t>
      </w:r>
      <w:r w:rsidRPr="00D86495">
        <w:rPr>
          <w:rFonts w:ascii="Arial" w:hAnsi="Arial" w:cs="Arial"/>
          <w:sz w:val="22"/>
          <w:szCs w:val="22"/>
          <w:lang w:val="en-US"/>
        </w:rPr>
        <w:t xml:space="preserve">Hub was a finely balanced judgment, which was not for </w:t>
      </w:r>
      <w:r>
        <w:rPr>
          <w:rFonts w:ascii="Arial" w:hAnsi="Arial" w:cs="Arial"/>
          <w:sz w:val="22"/>
          <w:szCs w:val="22"/>
          <w:lang w:val="en-US"/>
        </w:rPr>
        <w:t>DoH</w:t>
      </w:r>
      <w:r w:rsidRPr="00D86495">
        <w:rPr>
          <w:rFonts w:ascii="Arial" w:hAnsi="Arial" w:cs="Arial"/>
          <w:sz w:val="22"/>
          <w:szCs w:val="22"/>
          <w:lang w:val="en-US"/>
        </w:rPr>
        <w:t xml:space="preserve"> to take. </w:t>
      </w:r>
    </w:p>
    <w:p w14:paraId="3130CBF5" w14:textId="77777777" w:rsidR="00CD1632" w:rsidRDefault="00CD1632" w:rsidP="00CD1632">
      <w:pPr>
        <w:pStyle w:val="NormalWeb"/>
        <w:spacing w:line="276" w:lineRule="auto"/>
        <w:ind w:left="720"/>
        <w:jc w:val="both"/>
        <w:rPr>
          <w:rFonts w:ascii="Arial" w:hAnsi="Arial" w:cs="Arial"/>
          <w:color w:val="000000"/>
        </w:rPr>
      </w:pPr>
    </w:p>
    <w:p w14:paraId="380D310C" w14:textId="77777777" w:rsidR="00CD1632" w:rsidRDefault="00CD1632" w:rsidP="00CD1632">
      <w:pPr>
        <w:pStyle w:val="NormalWeb"/>
        <w:spacing w:line="276" w:lineRule="auto"/>
        <w:ind w:left="720"/>
        <w:jc w:val="both"/>
        <w:rPr>
          <w:rFonts w:ascii="Arial" w:hAnsi="Arial" w:cs="Arial"/>
          <w:color w:val="000000"/>
        </w:rPr>
      </w:pPr>
    </w:p>
    <w:p w14:paraId="6D1F784B" w14:textId="77777777" w:rsidR="00CD1632" w:rsidRPr="00530492" w:rsidRDefault="00CD1632" w:rsidP="00CD1632">
      <w:pPr>
        <w:pStyle w:val="NormalWeb"/>
        <w:spacing w:line="276" w:lineRule="auto"/>
        <w:ind w:left="720"/>
        <w:jc w:val="both"/>
        <w:rPr>
          <w:rFonts w:ascii="Arial" w:hAnsi="Arial" w:cs="Arial"/>
          <w:b/>
          <w:bCs/>
          <w:color w:val="000000"/>
          <w:u w:val="single"/>
        </w:rPr>
      </w:pPr>
      <w:r w:rsidRPr="00530492">
        <w:rPr>
          <w:rFonts w:ascii="Arial" w:hAnsi="Arial" w:cs="Arial"/>
          <w:b/>
          <w:bCs/>
          <w:color w:val="000000"/>
          <w:u w:val="single"/>
        </w:rPr>
        <w:t xml:space="preserve">System Fragilities </w:t>
      </w:r>
    </w:p>
    <w:p w14:paraId="6B56B467" w14:textId="77777777" w:rsidR="00CD1632" w:rsidRPr="00346798" w:rsidRDefault="00CD1632" w:rsidP="00CD1632">
      <w:pPr>
        <w:pStyle w:val="NormalWeb"/>
        <w:spacing w:line="276" w:lineRule="auto"/>
        <w:ind w:left="720"/>
        <w:jc w:val="both"/>
        <w:rPr>
          <w:rFonts w:ascii="Arial" w:hAnsi="Arial" w:cs="Arial"/>
          <w:color w:val="000000"/>
        </w:rPr>
      </w:pPr>
    </w:p>
    <w:p w14:paraId="7853C77B" w14:textId="77777777" w:rsidR="00CD1632" w:rsidRDefault="00CD1632" w:rsidP="00CD1632">
      <w:pPr>
        <w:pStyle w:val="NormalWeb"/>
        <w:numPr>
          <w:ilvl w:val="0"/>
          <w:numId w:val="7"/>
        </w:numPr>
        <w:spacing w:line="276" w:lineRule="auto"/>
        <w:jc w:val="both"/>
        <w:rPr>
          <w:rFonts w:ascii="Arial" w:hAnsi="Arial" w:cs="Arial"/>
          <w:color w:val="000000"/>
        </w:rPr>
      </w:pPr>
      <w:r w:rsidRPr="00346798">
        <w:rPr>
          <w:rFonts w:ascii="Arial" w:hAnsi="Arial" w:cs="Arial"/>
          <w:color w:val="000000"/>
        </w:rPr>
        <w:t>In January 2020 N</w:t>
      </w:r>
      <w:r>
        <w:rPr>
          <w:rFonts w:ascii="Arial" w:hAnsi="Arial" w:cs="Arial"/>
          <w:color w:val="000000"/>
        </w:rPr>
        <w:t>orthern Ireland</w:t>
      </w:r>
      <w:r w:rsidRPr="00346798">
        <w:rPr>
          <w:rFonts w:ascii="Arial" w:hAnsi="Arial" w:cs="Arial"/>
          <w:color w:val="000000"/>
        </w:rPr>
        <w:t xml:space="preserve"> had a health and social care system </w:t>
      </w:r>
      <w:r>
        <w:rPr>
          <w:rFonts w:ascii="Arial" w:hAnsi="Arial" w:cs="Arial"/>
          <w:color w:val="000000"/>
        </w:rPr>
        <w:t>which was</w:t>
      </w:r>
      <w:r w:rsidRPr="00346798">
        <w:rPr>
          <w:rFonts w:ascii="Arial" w:hAnsi="Arial" w:cs="Arial"/>
          <w:color w:val="000000"/>
        </w:rPr>
        <w:t xml:space="preserve"> long overdue </w:t>
      </w:r>
      <w:r>
        <w:rPr>
          <w:rFonts w:ascii="Arial" w:hAnsi="Arial" w:cs="Arial"/>
          <w:color w:val="000000"/>
        </w:rPr>
        <w:t xml:space="preserve">the </w:t>
      </w:r>
      <w:r w:rsidRPr="00346798">
        <w:rPr>
          <w:rFonts w:ascii="Arial" w:hAnsi="Arial" w:cs="Arial"/>
          <w:color w:val="000000"/>
        </w:rPr>
        <w:t>fundamental structural reform</w:t>
      </w:r>
      <w:r>
        <w:rPr>
          <w:rFonts w:ascii="Arial" w:hAnsi="Arial" w:cs="Arial"/>
          <w:color w:val="000000"/>
        </w:rPr>
        <w:t xml:space="preserve"> necessary</w:t>
      </w:r>
      <w:r w:rsidRPr="00346798">
        <w:rPr>
          <w:rFonts w:ascii="Arial" w:hAnsi="Arial" w:cs="Arial"/>
          <w:color w:val="000000"/>
        </w:rPr>
        <w:t xml:space="preserve"> to meet the changing and increasing needs of the population.  Prior to the pandemic the health service in N</w:t>
      </w:r>
      <w:r>
        <w:rPr>
          <w:rFonts w:ascii="Arial" w:hAnsi="Arial" w:cs="Arial"/>
          <w:color w:val="000000"/>
        </w:rPr>
        <w:t>orthern Ireland</w:t>
      </w:r>
      <w:r w:rsidRPr="00346798">
        <w:rPr>
          <w:rFonts w:ascii="Arial" w:hAnsi="Arial" w:cs="Arial"/>
          <w:color w:val="000000"/>
        </w:rPr>
        <w:t xml:space="preserve"> was increasingly unable to meet the changing and increased health needs of its population, as demands for care exceeded its ability to provide access to that care in a timely way, which resulted in unacceptable waiting times.  This caused increasing concern and frustration among healthcare professionals, managers and senior leaders who were increasingly worn down by the system’s inability to respond to meet those needs. At the outset of the pandemic there were significant vacancies across all professional groups and an unsustainable reliance on locum and agency staff.</w:t>
      </w:r>
    </w:p>
    <w:p w14:paraId="4118A176" w14:textId="77777777" w:rsidR="00CD1632" w:rsidRPr="00D86495" w:rsidRDefault="00CD1632" w:rsidP="00CD1632">
      <w:pPr>
        <w:pStyle w:val="NormalWeb"/>
        <w:spacing w:line="276" w:lineRule="auto"/>
        <w:ind w:left="720"/>
        <w:jc w:val="both"/>
        <w:rPr>
          <w:rFonts w:ascii="Arial" w:hAnsi="Arial" w:cs="Arial"/>
          <w:color w:val="000000"/>
        </w:rPr>
      </w:pPr>
    </w:p>
    <w:p w14:paraId="68F6F55F" w14:textId="77777777" w:rsidR="00CD1632" w:rsidRPr="00D86495" w:rsidRDefault="00CD1632" w:rsidP="00CD1632">
      <w:pPr>
        <w:pStyle w:val="ListParagraph"/>
        <w:spacing w:line="276" w:lineRule="auto"/>
        <w:jc w:val="both"/>
        <w:rPr>
          <w:rFonts w:ascii="Arial" w:hAnsi="Arial" w:cs="Arial"/>
          <w:sz w:val="22"/>
          <w:szCs w:val="22"/>
          <w:lang w:val="en-US"/>
        </w:rPr>
      </w:pPr>
    </w:p>
    <w:p w14:paraId="65301E9E"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It became apparent</w:t>
      </w:r>
      <w:r w:rsidRPr="00D86495">
        <w:rPr>
          <w:rFonts w:ascii="Arial" w:hAnsi="Arial" w:cs="Arial"/>
          <w:sz w:val="22"/>
          <w:szCs w:val="22"/>
          <w:lang w:val="en-US"/>
        </w:rPr>
        <w:t xml:space="preserve"> that that the </w:t>
      </w:r>
      <w:r>
        <w:rPr>
          <w:rFonts w:ascii="Arial" w:hAnsi="Arial" w:cs="Arial"/>
          <w:sz w:val="22"/>
          <w:szCs w:val="22"/>
          <w:lang w:val="en-US"/>
        </w:rPr>
        <w:t xml:space="preserve">HSCB, </w:t>
      </w:r>
      <w:r w:rsidRPr="00D86495">
        <w:rPr>
          <w:rFonts w:ascii="Arial" w:hAnsi="Arial" w:cs="Arial"/>
          <w:sz w:val="22"/>
          <w:szCs w:val="22"/>
          <w:lang w:val="en-US"/>
        </w:rPr>
        <w:t xml:space="preserve">PHA and the </w:t>
      </w:r>
      <w:r>
        <w:rPr>
          <w:rFonts w:ascii="Arial" w:hAnsi="Arial" w:cs="Arial"/>
          <w:sz w:val="22"/>
          <w:szCs w:val="22"/>
          <w:lang w:val="en-US"/>
        </w:rPr>
        <w:t>H</w:t>
      </w:r>
      <w:r w:rsidRPr="00D86495">
        <w:rPr>
          <w:rFonts w:ascii="Arial" w:hAnsi="Arial" w:cs="Arial"/>
          <w:sz w:val="22"/>
          <w:szCs w:val="22"/>
          <w:lang w:val="en-US"/>
        </w:rPr>
        <w:t xml:space="preserve">ealth </w:t>
      </w:r>
      <w:r>
        <w:rPr>
          <w:rFonts w:ascii="Arial" w:hAnsi="Arial" w:cs="Arial"/>
          <w:sz w:val="22"/>
          <w:szCs w:val="22"/>
          <w:lang w:val="en-US"/>
        </w:rPr>
        <w:t xml:space="preserve">Trusts </w:t>
      </w:r>
      <w:r w:rsidRPr="00D86495">
        <w:rPr>
          <w:rFonts w:ascii="Arial" w:hAnsi="Arial" w:cs="Arial"/>
          <w:sz w:val="22"/>
          <w:szCs w:val="22"/>
          <w:lang w:val="en-US"/>
        </w:rPr>
        <w:t>were not capable of providing the sort of surge planning that DoH expected</w:t>
      </w:r>
      <w:r>
        <w:rPr>
          <w:rFonts w:ascii="Arial" w:hAnsi="Arial" w:cs="Arial"/>
          <w:sz w:val="22"/>
          <w:szCs w:val="22"/>
          <w:lang w:val="en-US"/>
        </w:rPr>
        <w:t>,</w:t>
      </w:r>
      <w:r w:rsidRPr="00AB4A06">
        <w:t xml:space="preserve"> </w:t>
      </w:r>
      <w:r w:rsidRPr="00AB4A06">
        <w:rPr>
          <w:rFonts w:ascii="Arial" w:hAnsi="Arial" w:cs="Arial"/>
          <w:sz w:val="22"/>
          <w:szCs w:val="22"/>
          <w:lang w:val="en-US"/>
        </w:rPr>
        <w:t>partly as a consequence of the need for more specific Covid-19 planning assumptions which were not then available</w:t>
      </w:r>
      <w:r w:rsidRPr="00D86495">
        <w:rPr>
          <w:rFonts w:ascii="Arial" w:hAnsi="Arial" w:cs="Arial"/>
          <w:sz w:val="22"/>
          <w:szCs w:val="22"/>
          <w:lang w:val="en-US"/>
        </w:rPr>
        <w:t xml:space="preserve">.  Indeed, when initial plans were submitted to </w:t>
      </w:r>
      <w:proofErr w:type="gramStart"/>
      <w:r w:rsidRPr="00D86495">
        <w:rPr>
          <w:rFonts w:ascii="Arial" w:hAnsi="Arial" w:cs="Arial"/>
          <w:sz w:val="22"/>
          <w:szCs w:val="22"/>
          <w:lang w:val="en-US"/>
        </w:rPr>
        <w:t>DoH</w:t>
      </w:r>
      <w:proofErr w:type="gramEnd"/>
      <w:r w:rsidRPr="00D86495">
        <w:rPr>
          <w:rFonts w:ascii="Arial" w:hAnsi="Arial" w:cs="Arial"/>
          <w:sz w:val="22"/>
          <w:szCs w:val="22"/>
          <w:lang w:val="en-US"/>
        </w:rPr>
        <w:t xml:space="preserve"> they were reviewed and returned for further work to quality assure and address gaps</w:t>
      </w:r>
      <w:r w:rsidRPr="00D86495">
        <w:rPr>
          <w:rStyle w:val="FootnoteReference"/>
          <w:rFonts w:ascii="Arial" w:hAnsi="Arial" w:cs="Arial"/>
          <w:sz w:val="22"/>
          <w:szCs w:val="22"/>
          <w:lang w:val="en-US"/>
        </w:rPr>
        <w:footnoteReference w:id="34"/>
      </w:r>
      <w:r w:rsidRPr="00D86495">
        <w:rPr>
          <w:rFonts w:ascii="Arial" w:hAnsi="Arial" w:cs="Arial"/>
          <w:sz w:val="22"/>
          <w:szCs w:val="22"/>
          <w:lang w:val="en-US"/>
        </w:rPr>
        <w:t xml:space="preserve">. It </w:t>
      </w:r>
      <w:r>
        <w:rPr>
          <w:rFonts w:ascii="Arial" w:hAnsi="Arial" w:cs="Arial"/>
          <w:sz w:val="22"/>
          <w:szCs w:val="22"/>
          <w:lang w:val="en-US"/>
        </w:rPr>
        <w:t>is relevant that</w:t>
      </w:r>
      <w:r w:rsidRPr="00D86495">
        <w:rPr>
          <w:rFonts w:ascii="Arial" w:hAnsi="Arial" w:cs="Arial"/>
          <w:sz w:val="22"/>
          <w:szCs w:val="22"/>
          <w:lang w:val="en-US"/>
        </w:rPr>
        <w:t xml:space="preserve"> M</w:t>
      </w:r>
      <w:r>
        <w:rPr>
          <w:rFonts w:ascii="Arial" w:hAnsi="Arial" w:cs="Arial"/>
          <w:sz w:val="22"/>
          <w:szCs w:val="22"/>
          <w:lang w:val="en-US"/>
        </w:rPr>
        <w:t>inister Swann’s evidence was</w:t>
      </w:r>
      <w:r w:rsidRPr="00D86495">
        <w:rPr>
          <w:rFonts w:ascii="Arial" w:hAnsi="Arial" w:cs="Arial"/>
          <w:sz w:val="22"/>
          <w:szCs w:val="22"/>
          <w:lang w:val="en-US"/>
        </w:rPr>
        <w:t xml:space="preserve"> that the reason why there was not sufficient planning for widescale NPI</w:t>
      </w:r>
      <w:r>
        <w:rPr>
          <w:rFonts w:ascii="Arial" w:hAnsi="Arial" w:cs="Arial"/>
          <w:sz w:val="22"/>
          <w:szCs w:val="22"/>
          <w:lang w:val="en-US"/>
        </w:rPr>
        <w:t>s</w:t>
      </w:r>
      <w:r w:rsidRPr="00D86495">
        <w:rPr>
          <w:rFonts w:ascii="Arial" w:hAnsi="Arial" w:cs="Arial"/>
          <w:sz w:val="22"/>
          <w:szCs w:val="22"/>
          <w:lang w:val="en-US"/>
        </w:rPr>
        <w:t xml:space="preserve"> was because it could not be known what was needed</w:t>
      </w:r>
      <w:r>
        <w:rPr>
          <w:rFonts w:ascii="Arial" w:hAnsi="Arial" w:cs="Arial"/>
          <w:sz w:val="22"/>
          <w:szCs w:val="22"/>
          <w:lang w:val="en-US"/>
        </w:rPr>
        <w:t>,</w:t>
      </w:r>
      <w:r w:rsidRPr="00D86495">
        <w:rPr>
          <w:rFonts w:ascii="Arial" w:hAnsi="Arial" w:cs="Arial"/>
          <w:sz w:val="22"/>
          <w:szCs w:val="22"/>
          <w:lang w:val="en-US"/>
        </w:rPr>
        <w:t xml:space="preserve"> and every eventuality could not be planned for</w:t>
      </w:r>
      <w:r>
        <w:rPr>
          <w:rFonts w:ascii="Arial" w:hAnsi="Arial" w:cs="Arial"/>
          <w:sz w:val="22"/>
          <w:szCs w:val="22"/>
          <w:lang w:val="en-US"/>
        </w:rPr>
        <w:t>.  To similar effect,</w:t>
      </w:r>
      <w:r w:rsidRPr="00D86495">
        <w:rPr>
          <w:rFonts w:ascii="Arial" w:hAnsi="Arial" w:cs="Arial"/>
          <w:sz w:val="22"/>
          <w:szCs w:val="22"/>
          <w:lang w:val="en-US"/>
        </w:rPr>
        <w:t xml:space="preserve"> the CMO comment</w:t>
      </w:r>
      <w:r>
        <w:rPr>
          <w:rFonts w:ascii="Arial" w:hAnsi="Arial" w:cs="Arial"/>
          <w:sz w:val="22"/>
          <w:szCs w:val="22"/>
          <w:lang w:val="en-US"/>
        </w:rPr>
        <w:t>ed</w:t>
      </w:r>
      <w:r w:rsidRPr="00D86495">
        <w:rPr>
          <w:rFonts w:ascii="Arial" w:hAnsi="Arial" w:cs="Arial"/>
          <w:sz w:val="22"/>
          <w:szCs w:val="22"/>
          <w:lang w:val="en-US"/>
        </w:rPr>
        <w:t xml:space="preserve"> that maximum agility and adaptability must be built into the ERP system</w:t>
      </w:r>
      <w:r w:rsidRPr="00D86495">
        <w:rPr>
          <w:rStyle w:val="FootnoteReference"/>
          <w:rFonts w:ascii="Arial" w:hAnsi="Arial" w:cs="Arial"/>
          <w:sz w:val="22"/>
          <w:szCs w:val="22"/>
          <w:lang w:val="en-US"/>
        </w:rPr>
        <w:footnoteReference w:id="35"/>
      </w:r>
      <w:r w:rsidRPr="00D86495">
        <w:rPr>
          <w:rFonts w:ascii="Arial" w:hAnsi="Arial" w:cs="Arial"/>
          <w:sz w:val="22"/>
          <w:szCs w:val="22"/>
          <w:lang w:val="en-US"/>
        </w:rPr>
        <w:t xml:space="preserve">. </w:t>
      </w:r>
      <w:r w:rsidRPr="00AB4A06">
        <w:rPr>
          <w:rFonts w:ascii="Arial" w:hAnsi="Arial" w:cs="Arial"/>
          <w:sz w:val="22"/>
          <w:szCs w:val="22"/>
          <w:lang w:val="en-US"/>
        </w:rPr>
        <w:t>Detailed surge plans covering some 21 health service areas were covered by the HSC Summary Action Plan by March/April 2020 published on 19 March 2020.</w:t>
      </w:r>
    </w:p>
    <w:p w14:paraId="02137CD4" w14:textId="77777777" w:rsidR="00CD1632" w:rsidRDefault="00CD1632" w:rsidP="00CD1632">
      <w:pPr>
        <w:pStyle w:val="ListParagraph"/>
        <w:spacing w:line="276" w:lineRule="auto"/>
        <w:jc w:val="both"/>
        <w:rPr>
          <w:rFonts w:ascii="Arial" w:hAnsi="Arial" w:cs="Arial"/>
          <w:sz w:val="22"/>
          <w:szCs w:val="22"/>
          <w:lang w:val="en-US"/>
        </w:rPr>
      </w:pPr>
    </w:p>
    <w:p w14:paraId="40A873EF"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Pr>
          <w:rFonts w:ascii="Arial" w:hAnsi="Arial" w:cs="Arial"/>
          <w:sz w:val="22"/>
          <w:szCs w:val="22"/>
          <w:lang w:val="en-US"/>
        </w:rPr>
        <w:t>I</w:t>
      </w:r>
      <w:r w:rsidRPr="00346798">
        <w:rPr>
          <w:rFonts w:ascii="Arial" w:hAnsi="Arial" w:cs="Arial"/>
          <w:sz w:val="22"/>
          <w:szCs w:val="22"/>
          <w:lang w:val="en-US"/>
        </w:rPr>
        <w:t>n common with other public health bodies across the UK and internationally</w:t>
      </w:r>
      <w:r>
        <w:rPr>
          <w:rFonts w:ascii="Arial" w:hAnsi="Arial" w:cs="Arial"/>
          <w:sz w:val="22"/>
          <w:szCs w:val="22"/>
          <w:lang w:val="en-US"/>
        </w:rPr>
        <w:t>, the PHA</w:t>
      </w:r>
      <w:r w:rsidRPr="00346798">
        <w:rPr>
          <w:rFonts w:ascii="Arial" w:hAnsi="Arial" w:cs="Arial"/>
          <w:sz w:val="22"/>
          <w:szCs w:val="22"/>
          <w:lang w:val="en-US"/>
        </w:rPr>
        <w:t xml:space="preserve"> faced significant and sustained challenges in responding to the pandemic, particularly given the intensity and duration of the response. DoH and the PHA by comparison had</w:t>
      </w:r>
      <w:r>
        <w:rPr>
          <w:rFonts w:ascii="Arial" w:hAnsi="Arial" w:cs="Arial"/>
          <w:sz w:val="22"/>
          <w:szCs w:val="22"/>
          <w:lang w:val="en-US"/>
        </w:rPr>
        <w:t xml:space="preserve"> </w:t>
      </w:r>
      <w:r w:rsidRPr="00346798">
        <w:rPr>
          <w:rFonts w:ascii="Arial" w:hAnsi="Arial" w:cs="Arial"/>
          <w:sz w:val="22"/>
          <w:szCs w:val="22"/>
          <w:lang w:val="en-US"/>
        </w:rPr>
        <w:t>significantly less resource</w:t>
      </w:r>
      <w:r>
        <w:rPr>
          <w:rFonts w:ascii="Arial" w:hAnsi="Arial" w:cs="Arial"/>
          <w:sz w:val="22"/>
          <w:szCs w:val="22"/>
          <w:lang w:val="en-US"/>
        </w:rPr>
        <w:t>s</w:t>
      </w:r>
      <w:r w:rsidRPr="00346798">
        <w:rPr>
          <w:rFonts w:ascii="Arial" w:hAnsi="Arial" w:cs="Arial"/>
          <w:sz w:val="22"/>
          <w:szCs w:val="22"/>
          <w:lang w:val="en-US"/>
        </w:rPr>
        <w:t xml:space="preserve"> available</w:t>
      </w:r>
      <w:r>
        <w:rPr>
          <w:rFonts w:ascii="Arial" w:hAnsi="Arial" w:cs="Arial"/>
          <w:sz w:val="22"/>
          <w:szCs w:val="22"/>
          <w:lang w:val="en-US"/>
        </w:rPr>
        <w:t>, when</w:t>
      </w:r>
      <w:r w:rsidRPr="00346798">
        <w:rPr>
          <w:rFonts w:ascii="Arial" w:hAnsi="Arial" w:cs="Arial"/>
          <w:sz w:val="22"/>
          <w:szCs w:val="22"/>
          <w:lang w:val="en-US"/>
        </w:rPr>
        <w:t xml:space="preserve"> compared to other UK jurisdictions</w:t>
      </w:r>
      <w:r>
        <w:rPr>
          <w:rFonts w:ascii="Arial" w:hAnsi="Arial" w:cs="Arial"/>
          <w:sz w:val="22"/>
          <w:szCs w:val="22"/>
          <w:lang w:val="en-US"/>
        </w:rPr>
        <w:t>, despite having</w:t>
      </w:r>
      <w:r w:rsidRPr="00346798">
        <w:rPr>
          <w:rFonts w:ascii="Arial" w:hAnsi="Arial" w:cs="Arial"/>
          <w:sz w:val="22"/>
          <w:szCs w:val="22"/>
          <w:lang w:val="en-US"/>
        </w:rPr>
        <w:t xml:space="preserve"> similar policy and legislative responsibilities.  Given the complexity and many interrelated key dependencies</w:t>
      </w:r>
      <w:r>
        <w:rPr>
          <w:rFonts w:ascii="Arial" w:hAnsi="Arial" w:cs="Arial"/>
          <w:sz w:val="22"/>
          <w:szCs w:val="22"/>
          <w:lang w:val="en-US"/>
        </w:rPr>
        <w:t>,</w:t>
      </w:r>
      <w:r w:rsidRPr="00346798">
        <w:rPr>
          <w:rFonts w:ascii="Arial" w:hAnsi="Arial" w:cs="Arial"/>
          <w:sz w:val="22"/>
          <w:szCs w:val="22"/>
          <w:lang w:val="en-US"/>
        </w:rPr>
        <w:t xml:space="preserve"> a collective and integrated approach was taken to aspects of the policy and strategic operational response: examples of this include the approach to contact tracing, testing and the vaccination </w:t>
      </w:r>
      <w:proofErr w:type="spellStart"/>
      <w:r w:rsidRPr="00346798">
        <w:rPr>
          <w:rFonts w:ascii="Arial" w:hAnsi="Arial" w:cs="Arial"/>
          <w:sz w:val="22"/>
          <w:szCs w:val="22"/>
          <w:lang w:val="en-US"/>
        </w:rPr>
        <w:t>programme</w:t>
      </w:r>
      <w:proofErr w:type="spellEnd"/>
      <w:r w:rsidRPr="00346798">
        <w:rPr>
          <w:rFonts w:ascii="Arial" w:hAnsi="Arial" w:cs="Arial"/>
          <w:sz w:val="22"/>
          <w:szCs w:val="22"/>
          <w:lang w:val="en-US"/>
        </w:rPr>
        <w:t>.</w:t>
      </w:r>
    </w:p>
    <w:p w14:paraId="19746408" w14:textId="77777777" w:rsidR="00CD1632" w:rsidRPr="00530492" w:rsidRDefault="00CD1632" w:rsidP="00CD1632">
      <w:pPr>
        <w:pStyle w:val="ListParagraph"/>
        <w:rPr>
          <w:rFonts w:ascii="Arial" w:hAnsi="Arial" w:cs="Arial"/>
          <w:sz w:val="22"/>
          <w:szCs w:val="22"/>
          <w:lang w:val="en-US"/>
        </w:rPr>
      </w:pPr>
    </w:p>
    <w:p w14:paraId="212E46F9" w14:textId="77777777" w:rsidR="00CD1632" w:rsidRPr="00530492" w:rsidRDefault="00CD1632" w:rsidP="00CD1632">
      <w:pPr>
        <w:pStyle w:val="ListParagraph"/>
        <w:spacing w:line="276" w:lineRule="auto"/>
        <w:jc w:val="both"/>
        <w:rPr>
          <w:rFonts w:ascii="Arial" w:hAnsi="Arial" w:cs="Arial"/>
          <w:sz w:val="22"/>
          <w:szCs w:val="22"/>
          <w:lang w:val="en-US"/>
        </w:rPr>
      </w:pPr>
    </w:p>
    <w:p w14:paraId="07657D8D" w14:textId="77777777" w:rsidR="00CD1632" w:rsidRPr="00346798" w:rsidRDefault="00CD1632" w:rsidP="00CD1632">
      <w:pPr>
        <w:pStyle w:val="ListParagraph"/>
        <w:spacing w:line="276" w:lineRule="auto"/>
        <w:jc w:val="both"/>
        <w:rPr>
          <w:rFonts w:ascii="Arial" w:hAnsi="Arial" w:cs="Arial"/>
          <w:sz w:val="22"/>
          <w:szCs w:val="22"/>
          <w:lang w:val="en-US"/>
        </w:rPr>
      </w:pPr>
      <w:r w:rsidRPr="00346798">
        <w:rPr>
          <w:rFonts w:ascii="Arial" w:hAnsi="Arial" w:cs="Arial"/>
          <w:sz w:val="22"/>
          <w:szCs w:val="22"/>
          <w:lang w:val="en-US"/>
        </w:rPr>
        <w:t xml:space="preserve">DoH worked closely with the PHA to ensure that appropriate leadership, alignment with policy, and necessary oversight and governance was provided for the pandemic response.  The command and control arrangements under the ERP did not sit comfortably with the extant accountability arrangements in PHA, particularly given the need for rapid decision making in response to the initial dynamic fast moving months of the emergency.  From April to May 2020 DoH's Top Management Group </w:t>
      </w:r>
      <w:proofErr w:type="spellStart"/>
      <w:r w:rsidRPr="00346798">
        <w:rPr>
          <w:rFonts w:ascii="Arial" w:hAnsi="Arial" w:cs="Arial"/>
          <w:sz w:val="22"/>
          <w:szCs w:val="22"/>
          <w:lang w:val="en-US"/>
        </w:rPr>
        <w:t>recognised</w:t>
      </w:r>
      <w:proofErr w:type="spellEnd"/>
      <w:r w:rsidRPr="00346798">
        <w:rPr>
          <w:rFonts w:ascii="Arial" w:hAnsi="Arial" w:cs="Arial"/>
          <w:sz w:val="22"/>
          <w:szCs w:val="22"/>
          <w:lang w:val="en-US"/>
        </w:rPr>
        <w:t xml:space="preserve"> that the HSC system required a new temporary governance model. This required striking a balance between the emergency governance arrangements introduced to mitigate the impact of Covid-19 on the HSC </w:t>
      </w:r>
      <w:proofErr w:type="gramStart"/>
      <w:r w:rsidRPr="00346798">
        <w:rPr>
          <w:rFonts w:ascii="Arial" w:hAnsi="Arial" w:cs="Arial"/>
          <w:sz w:val="22"/>
          <w:szCs w:val="22"/>
          <w:lang w:val="en-US"/>
        </w:rPr>
        <w:t>system, and</w:t>
      </w:r>
      <w:proofErr w:type="gramEnd"/>
      <w:r w:rsidRPr="00346798">
        <w:rPr>
          <w:rFonts w:ascii="Arial" w:hAnsi="Arial" w:cs="Arial"/>
          <w:sz w:val="22"/>
          <w:szCs w:val="22"/>
          <w:lang w:val="en-US"/>
        </w:rPr>
        <w:t xml:space="preserve"> modifying the normal governance arrangements for the oversight of HSC routine service delivery. This involved marshalling all available Departmental and HSC resources to work together across </w:t>
      </w:r>
      <w:proofErr w:type="spellStart"/>
      <w:r w:rsidRPr="00346798">
        <w:rPr>
          <w:rFonts w:ascii="Arial" w:hAnsi="Arial" w:cs="Arial"/>
          <w:sz w:val="22"/>
          <w:szCs w:val="22"/>
          <w:lang w:val="en-US"/>
        </w:rPr>
        <w:t>organisational</w:t>
      </w:r>
      <w:proofErr w:type="spellEnd"/>
      <w:r w:rsidRPr="00346798">
        <w:rPr>
          <w:rFonts w:ascii="Arial" w:hAnsi="Arial" w:cs="Arial"/>
          <w:sz w:val="22"/>
          <w:szCs w:val="22"/>
          <w:lang w:val="en-US"/>
        </w:rPr>
        <w:t xml:space="preserve"> boundaries, directed via a combination of command and control alongside the incremental rebuilding of routine service delivery. These new arrangements, which were stood up in June 2020, at the same time as the EOC was being stood down, ensured a sustainable and inclusive approach to decision-making during this difficult period</w:t>
      </w:r>
      <w:r>
        <w:rPr>
          <w:rStyle w:val="FootnoteReference"/>
          <w:rFonts w:ascii="Arial" w:hAnsi="Arial" w:cs="Arial"/>
          <w:sz w:val="22"/>
          <w:szCs w:val="22"/>
          <w:lang w:val="en-US"/>
        </w:rPr>
        <w:footnoteReference w:id="36"/>
      </w:r>
      <w:r w:rsidRPr="00346798">
        <w:rPr>
          <w:rFonts w:ascii="Arial" w:hAnsi="Arial" w:cs="Arial"/>
          <w:sz w:val="22"/>
          <w:szCs w:val="22"/>
          <w:lang w:val="en-US"/>
        </w:rPr>
        <w:t xml:space="preserve">. </w:t>
      </w:r>
    </w:p>
    <w:p w14:paraId="5B8E3B73" w14:textId="77777777" w:rsidR="00CD1632" w:rsidRDefault="00CD1632" w:rsidP="00CD1632">
      <w:pPr>
        <w:pStyle w:val="ListParagraph"/>
        <w:spacing w:line="276" w:lineRule="auto"/>
        <w:jc w:val="both"/>
        <w:rPr>
          <w:rFonts w:ascii="Arial" w:hAnsi="Arial" w:cs="Arial"/>
          <w:sz w:val="22"/>
          <w:szCs w:val="22"/>
          <w:lang w:val="en-US"/>
        </w:rPr>
      </w:pPr>
    </w:p>
    <w:p w14:paraId="7A8B9193" w14:textId="77777777" w:rsidR="00CD1632" w:rsidRPr="00D86495" w:rsidRDefault="00CD1632" w:rsidP="00CD1632">
      <w:pPr>
        <w:pStyle w:val="ListParagraph"/>
        <w:spacing w:line="276" w:lineRule="auto"/>
        <w:jc w:val="both"/>
        <w:rPr>
          <w:rFonts w:ascii="Arial" w:hAnsi="Arial" w:cs="Arial"/>
          <w:sz w:val="22"/>
          <w:szCs w:val="22"/>
          <w:lang w:val="en-US"/>
        </w:rPr>
      </w:pPr>
    </w:p>
    <w:p w14:paraId="575CBCB2" w14:textId="77777777" w:rsidR="00CD1632" w:rsidRPr="00D86495" w:rsidRDefault="00CD1632" w:rsidP="00CD1632">
      <w:pPr>
        <w:pStyle w:val="ListParagraph"/>
        <w:spacing w:line="276" w:lineRule="auto"/>
        <w:jc w:val="both"/>
        <w:rPr>
          <w:rFonts w:ascii="Arial" w:hAnsi="Arial" w:cs="Arial"/>
          <w:b/>
          <w:bCs/>
          <w:sz w:val="22"/>
          <w:szCs w:val="22"/>
          <w:u w:val="single"/>
          <w:lang w:val="en-US"/>
        </w:rPr>
      </w:pPr>
      <w:r w:rsidRPr="00D86495">
        <w:rPr>
          <w:rFonts w:ascii="Arial" w:hAnsi="Arial" w:cs="Arial"/>
          <w:b/>
          <w:bCs/>
          <w:sz w:val="22"/>
          <w:szCs w:val="22"/>
          <w:u w:val="single"/>
          <w:lang w:val="en-US"/>
        </w:rPr>
        <w:t>Asymptomatic Transmission</w:t>
      </w:r>
    </w:p>
    <w:p w14:paraId="1BBFE217" w14:textId="77777777" w:rsidR="00CD1632" w:rsidRPr="00D86495" w:rsidRDefault="00CD1632" w:rsidP="00CD1632">
      <w:pPr>
        <w:pStyle w:val="ListParagraph"/>
        <w:spacing w:line="276" w:lineRule="auto"/>
        <w:jc w:val="both"/>
        <w:rPr>
          <w:rFonts w:ascii="Arial" w:hAnsi="Arial" w:cs="Arial"/>
          <w:sz w:val="22"/>
          <w:szCs w:val="22"/>
          <w:lang w:val="en-US"/>
        </w:rPr>
      </w:pPr>
    </w:p>
    <w:p w14:paraId="2B5155A3" w14:textId="60A183B2"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Department contends that </w:t>
      </w:r>
      <w:r>
        <w:rPr>
          <w:rFonts w:ascii="Arial" w:hAnsi="Arial" w:cs="Arial"/>
          <w:sz w:val="22"/>
          <w:szCs w:val="22"/>
          <w:lang w:val="en-US"/>
        </w:rPr>
        <w:t>throughout the pandemic</w:t>
      </w:r>
      <w:r w:rsidRPr="00D86495">
        <w:rPr>
          <w:rFonts w:ascii="Arial" w:hAnsi="Arial" w:cs="Arial"/>
          <w:sz w:val="22"/>
          <w:szCs w:val="22"/>
          <w:lang w:val="en-US"/>
        </w:rPr>
        <w:t xml:space="preserve"> </w:t>
      </w:r>
      <w:r>
        <w:rPr>
          <w:rFonts w:ascii="Arial" w:hAnsi="Arial" w:cs="Arial"/>
          <w:sz w:val="22"/>
          <w:szCs w:val="22"/>
          <w:lang w:val="en-US"/>
        </w:rPr>
        <w:t>Northern Ireland</w:t>
      </w:r>
      <w:r w:rsidRPr="00D86495">
        <w:rPr>
          <w:rFonts w:ascii="Arial" w:hAnsi="Arial" w:cs="Arial"/>
          <w:sz w:val="22"/>
          <w:szCs w:val="22"/>
          <w:lang w:val="en-US"/>
        </w:rPr>
        <w:t xml:space="preserve"> treat</w:t>
      </w:r>
      <w:r>
        <w:rPr>
          <w:rFonts w:ascii="Arial" w:hAnsi="Arial" w:cs="Arial"/>
          <w:sz w:val="22"/>
          <w:szCs w:val="22"/>
          <w:lang w:val="en-US"/>
        </w:rPr>
        <w:t>ed</w:t>
      </w:r>
      <w:r w:rsidRPr="00D86495">
        <w:rPr>
          <w:rFonts w:ascii="Arial" w:hAnsi="Arial" w:cs="Arial"/>
          <w:sz w:val="22"/>
          <w:szCs w:val="22"/>
          <w:lang w:val="en-US"/>
        </w:rPr>
        <w:t xml:space="preserve"> asymptomatic transmission as a </w:t>
      </w:r>
      <w:r>
        <w:rPr>
          <w:rFonts w:ascii="Arial" w:hAnsi="Arial" w:cs="Arial"/>
          <w:sz w:val="22"/>
          <w:szCs w:val="22"/>
          <w:lang w:val="en-US"/>
        </w:rPr>
        <w:t xml:space="preserve">potential </w:t>
      </w:r>
      <w:r w:rsidRPr="00D86495">
        <w:rPr>
          <w:rFonts w:ascii="Arial" w:hAnsi="Arial" w:cs="Arial"/>
          <w:sz w:val="22"/>
          <w:szCs w:val="22"/>
          <w:lang w:val="en-US"/>
        </w:rPr>
        <w:t xml:space="preserve">reality.  The scientific advice from SAGE </w:t>
      </w:r>
      <w:proofErr w:type="gramStart"/>
      <w:r>
        <w:rPr>
          <w:rFonts w:ascii="Arial" w:hAnsi="Arial" w:cs="Arial"/>
          <w:sz w:val="22"/>
          <w:szCs w:val="22"/>
          <w:lang w:val="en-US"/>
        </w:rPr>
        <w:t>at</w:t>
      </w:r>
      <w:proofErr w:type="gramEnd"/>
      <w:r>
        <w:rPr>
          <w:rFonts w:ascii="Arial" w:hAnsi="Arial" w:cs="Arial"/>
          <w:sz w:val="22"/>
          <w:szCs w:val="22"/>
          <w:lang w:val="en-US"/>
        </w:rPr>
        <w:t xml:space="preserve"> 28 January 2020 was</w:t>
      </w:r>
      <w:r w:rsidRPr="00D86495">
        <w:rPr>
          <w:rFonts w:ascii="Arial" w:hAnsi="Arial" w:cs="Arial"/>
          <w:sz w:val="22"/>
          <w:szCs w:val="22"/>
          <w:lang w:val="en-US"/>
        </w:rPr>
        <w:t xml:space="preserve"> that the implications of potential asymptomatic transmission </w:t>
      </w:r>
      <w:r>
        <w:rPr>
          <w:rFonts w:ascii="Arial" w:hAnsi="Arial" w:cs="Arial"/>
          <w:sz w:val="22"/>
          <w:szCs w:val="22"/>
          <w:lang w:val="en-US"/>
        </w:rPr>
        <w:t>(</w:t>
      </w:r>
      <w:r w:rsidRPr="00D86495">
        <w:rPr>
          <w:rFonts w:ascii="Arial" w:hAnsi="Arial" w:cs="Arial"/>
          <w:sz w:val="22"/>
          <w:szCs w:val="22"/>
          <w:lang w:val="en-US"/>
        </w:rPr>
        <w:t>in the absence of testing</w:t>
      </w:r>
      <w:r>
        <w:rPr>
          <w:rFonts w:ascii="Arial" w:hAnsi="Arial" w:cs="Arial"/>
          <w:sz w:val="22"/>
          <w:szCs w:val="22"/>
          <w:lang w:val="en-US"/>
        </w:rPr>
        <w:t>)</w:t>
      </w:r>
      <w:r w:rsidRPr="00D86495">
        <w:rPr>
          <w:rFonts w:ascii="Arial" w:hAnsi="Arial" w:cs="Arial"/>
          <w:sz w:val="22"/>
          <w:szCs w:val="22"/>
          <w:lang w:val="en-US"/>
        </w:rPr>
        <w:t xml:space="preserve"> were that any member of the population could transmit the virus at any time.  The qualification to that advice was that it was considered that asymptomatic transmission was unlikely (though not impossible) if the individual had had a very recent negative test. In the absence of widescale testing (which was not available until much later in the pandemic, in or about </w:t>
      </w:r>
      <w:r w:rsidR="000F256E" w:rsidRPr="008D5D80">
        <w:rPr>
          <w:rFonts w:ascii="Arial" w:hAnsi="Arial" w:cs="Arial"/>
          <w:sz w:val="22"/>
          <w:szCs w:val="22"/>
          <w:lang w:val="en-US"/>
        </w:rPr>
        <w:t>late May 2020</w:t>
      </w:r>
      <w:r w:rsidRPr="00D86495">
        <w:rPr>
          <w:rFonts w:ascii="Arial" w:hAnsi="Arial" w:cs="Arial"/>
          <w:sz w:val="22"/>
          <w:szCs w:val="22"/>
          <w:lang w:val="en-US"/>
        </w:rPr>
        <w:t xml:space="preserve"> asymptomatic transmission could only be prevented by </w:t>
      </w:r>
      <w:proofErr w:type="spellStart"/>
      <w:r w:rsidRPr="00D86495">
        <w:rPr>
          <w:rFonts w:ascii="Arial" w:hAnsi="Arial" w:cs="Arial"/>
          <w:sz w:val="22"/>
          <w:szCs w:val="22"/>
          <w:lang w:val="en-US"/>
        </w:rPr>
        <w:t>minimising</w:t>
      </w:r>
      <w:proofErr w:type="spellEnd"/>
      <w:r w:rsidRPr="00D86495">
        <w:rPr>
          <w:rFonts w:ascii="Arial" w:hAnsi="Arial" w:cs="Arial"/>
          <w:sz w:val="22"/>
          <w:szCs w:val="22"/>
          <w:lang w:val="en-US"/>
        </w:rPr>
        <w:t xml:space="preserve"> contacts (which was the aim of social distancing measures and lockdown) or by effective Infection Prevention Control arrangements, including the use of PPE when contacts could not be prevented</w:t>
      </w:r>
      <w:r>
        <w:rPr>
          <w:rFonts w:ascii="Arial" w:hAnsi="Arial" w:cs="Arial"/>
          <w:sz w:val="22"/>
          <w:szCs w:val="22"/>
          <w:lang w:val="en-US"/>
        </w:rPr>
        <w:t>.  These measures were</w:t>
      </w:r>
      <w:r w:rsidRPr="00D86495">
        <w:rPr>
          <w:rFonts w:ascii="Arial" w:hAnsi="Arial" w:cs="Arial"/>
          <w:sz w:val="22"/>
          <w:szCs w:val="22"/>
          <w:lang w:val="en-US"/>
        </w:rPr>
        <w:t xml:space="preserve"> especially </w:t>
      </w:r>
      <w:r>
        <w:rPr>
          <w:rFonts w:ascii="Arial" w:hAnsi="Arial" w:cs="Arial"/>
          <w:sz w:val="22"/>
          <w:szCs w:val="22"/>
          <w:lang w:val="en-US"/>
        </w:rPr>
        <w:t>relevant for</w:t>
      </w:r>
      <w:r w:rsidRPr="00D86495">
        <w:rPr>
          <w:rFonts w:ascii="Arial" w:hAnsi="Arial" w:cs="Arial"/>
          <w:sz w:val="22"/>
          <w:szCs w:val="22"/>
          <w:lang w:val="en-US"/>
        </w:rPr>
        <w:t xml:space="preserve"> the elderly and vulnerable, as was recommended in health and social care settings.  Therefore, from an early stage in the pandemic, the recommendations from </w:t>
      </w:r>
      <w:r>
        <w:rPr>
          <w:rFonts w:ascii="Arial" w:hAnsi="Arial" w:cs="Arial"/>
          <w:sz w:val="22"/>
          <w:szCs w:val="22"/>
          <w:lang w:val="en-US"/>
        </w:rPr>
        <w:t>DoH</w:t>
      </w:r>
      <w:r w:rsidRPr="00D86495">
        <w:rPr>
          <w:rFonts w:ascii="Arial" w:hAnsi="Arial" w:cs="Arial"/>
          <w:sz w:val="22"/>
          <w:szCs w:val="22"/>
          <w:lang w:val="en-US"/>
        </w:rPr>
        <w:t xml:space="preserve"> were directed against the possibility of both symptomatic and asymptomatic transmission.  The recommendations made by the CMO and CSA, which contributed to the decisions made by Northern Ireland in respect of NPIs were based on an acceptance that treated the possibility of asymptomatic transmission as a reality, even if this was not explicitly stated or confirmed in those early weeks of the pandemic.  </w:t>
      </w:r>
    </w:p>
    <w:p w14:paraId="6A4F1A6A" w14:textId="77777777" w:rsidR="00CD1632" w:rsidRPr="00D86495" w:rsidRDefault="00CD1632" w:rsidP="00CD1632">
      <w:pPr>
        <w:pStyle w:val="ListParagraph"/>
        <w:spacing w:line="276" w:lineRule="auto"/>
        <w:jc w:val="both"/>
        <w:rPr>
          <w:rFonts w:ascii="Arial" w:hAnsi="Arial" w:cs="Arial"/>
          <w:sz w:val="22"/>
          <w:szCs w:val="22"/>
          <w:lang w:val="en-US"/>
        </w:rPr>
      </w:pPr>
    </w:p>
    <w:p w14:paraId="77B54A4B"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Asymptomatic transmission was discussed as </w:t>
      </w:r>
      <w:r>
        <w:rPr>
          <w:rFonts w:ascii="Arial" w:hAnsi="Arial" w:cs="Arial"/>
          <w:sz w:val="22"/>
          <w:szCs w:val="22"/>
          <w:lang w:val="en-US"/>
        </w:rPr>
        <w:t xml:space="preserve">a </w:t>
      </w:r>
      <w:r w:rsidRPr="00D86495">
        <w:rPr>
          <w:rFonts w:ascii="Arial" w:hAnsi="Arial" w:cs="Arial"/>
          <w:sz w:val="22"/>
          <w:szCs w:val="22"/>
          <w:lang w:val="en-US"/>
        </w:rPr>
        <w:t xml:space="preserve">possibility by SAGE on 28 January 2020, but it was not until 13 May 2020 that asymptomatic transmission was confirmed </w:t>
      </w:r>
      <w:r w:rsidRPr="00F229C3">
        <w:rPr>
          <w:rFonts w:ascii="Arial" w:hAnsi="Arial" w:cs="Arial"/>
          <w:sz w:val="22"/>
          <w:szCs w:val="22"/>
          <w:lang w:val="en-US"/>
        </w:rPr>
        <w:t>by NERVTAG</w:t>
      </w:r>
      <w:r w:rsidRPr="00842CF8">
        <w:rPr>
          <w:rFonts w:ascii="Arial" w:hAnsi="Arial" w:cs="Arial"/>
          <w:sz w:val="22"/>
          <w:szCs w:val="22"/>
          <w:lang w:val="en-US"/>
        </w:rPr>
        <w:t xml:space="preserve"> </w:t>
      </w:r>
      <w:r w:rsidRPr="00D86495">
        <w:rPr>
          <w:rFonts w:ascii="Arial" w:hAnsi="Arial" w:cs="Arial"/>
          <w:sz w:val="22"/>
          <w:szCs w:val="22"/>
          <w:lang w:val="en-US"/>
        </w:rPr>
        <w:t xml:space="preserve">as occurring.  Therefore, </w:t>
      </w:r>
      <w:proofErr w:type="gramStart"/>
      <w:r>
        <w:rPr>
          <w:rFonts w:ascii="Arial" w:hAnsi="Arial" w:cs="Arial"/>
          <w:sz w:val="22"/>
          <w:szCs w:val="22"/>
          <w:lang w:val="en-US"/>
        </w:rPr>
        <w:t>DoH</w:t>
      </w:r>
      <w:proofErr w:type="gramEnd"/>
      <w:r w:rsidRPr="00D86495">
        <w:rPr>
          <w:rFonts w:ascii="Arial" w:hAnsi="Arial" w:cs="Arial"/>
          <w:sz w:val="22"/>
          <w:szCs w:val="22"/>
          <w:lang w:val="en-US"/>
        </w:rPr>
        <w:t xml:space="preserve"> contends that the Inquiry's concern that Northern Ireland was not treating asymptomatic transmission as a possibility prior to 13 May 2020 is misplaced.   The CMO and CSA’s advice to Ministers throughout the pandemic was at all times informed by the assessment and recommendation of expert scientific groups such as NERVTAG, SAGE and other advisory groups such as JCVI.  </w:t>
      </w:r>
    </w:p>
    <w:p w14:paraId="00F00DC5" w14:textId="77777777" w:rsidR="00CD1632" w:rsidRPr="00A00D46" w:rsidRDefault="00CD1632" w:rsidP="00CD1632">
      <w:pPr>
        <w:pStyle w:val="ListParagraph"/>
        <w:spacing w:line="276" w:lineRule="auto"/>
        <w:jc w:val="both"/>
        <w:rPr>
          <w:rFonts w:ascii="Arial" w:hAnsi="Arial" w:cs="Arial"/>
          <w:b/>
          <w:bCs/>
          <w:sz w:val="22"/>
          <w:szCs w:val="22"/>
          <w:u w:val="single"/>
          <w:lang w:val="en-US"/>
        </w:rPr>
      </w:pPr>
    </w:p>
    <w:p w14:paraId="144CEF0C" w14:textId="77777777" w:rsidR="00CD1632" w:rsidRPr="00A00D46" w:rsidRDefault="00CD1632" w:rsidP="00CD1632">
      <w:pPr>
        <w:pStyle w:val="ListParagraph"/>
        <w:spacing w:line="276" w:lineRule="auto"/>
        <w:jc w:val="both"/>
        <w:rPr>
          <w:rFonts w:ascii="Arial" w:hAnsi="Arial" w:cs="Arial"/>
          <w:b/>
          <w:bCs/>
          <w:sz w:val="22"/>
          <w:szCs w:val="22"/>
          <w:u w:val="single"/>
          <w:lang w:val="en-US"/>
        </w:rPr>
      </w:pPr>
      <w:r w:rsidRPr="00A00D46">
        <w:rPr>
          <w:rFonts w:ascii="Arial" w:hAnsi="Arial" w:cs="Arial"/>
          <w:b/>
          <w:bCs/>
          <w:sz w:val="22"/>
          <w:szCs w:val="22"/>
          <w:u w:val="single"/>
          <w:lang w:val="en-US"/>
        </w:rPr>
        <w:t>Local Modelling Capacity in NI</w:t>
      </w:r>
    </w:p>
    <w:p w14:paraId="667B66D7" w14:textId="77777777" w:rsidR="00CD1632" w:rsidRPr="00A00D46" w:rsidRDefault="00CD1632" w:rsidP="00CD1632">
      <w:pPr>
        <w:pStyle w:val="ListParagraph"/>
        <w:spacing w:line="276" w:lineRule="auto"/>
        <w:jc w:val="both"/>
        <w:rPr>
          <w:rFonts w:ascii="Arial" w:hAnsi="Arial" w:cs="Arial"/>
          <w:sz w:val="22"/>
          <w:szCs w:val="22"/>
          <w:lang w:val="en-US"/>
        </w:rPr>
      </w:pPr>
    </w:p>
    <w:p w14:paraId="27253663"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It is submitted that the assumptions and potential impacts and their implications discussed by Professor Mark Woolhouse (that an unmitigated pandemic would result in a large number of deaths and that the healthcare system would be overwhelmed), as evidenced by his email of 25 January 2020 (INQ000047559) were well understood in </w:t>
      </w:r>
      <w:r>
        <w:rPr>
          <w:rFonts w:ascii="Arial" w:hAnsi="Arial" w:cs="Arial"/>
          <w:sz w:val="22"/>
          <w:szCs w:val="22"/>
          <w:lang w:val="en-US"/>
        </w:rPr>
        <w:t>Northern Ireland</w:t>
      </w:r>
      <w:r w:rsidRPr="00D86495">
        <w:rPr>
          <w:rFonts w:ascii="Arial" w:hAnsi="Arial" w:cs="Arial"/>
          <w:sz w:val="22"/>
          <w:szCs w:val="22"/>
          <w:lang w:val="en-US"/>
        </w:rPr>
        <w:t xml:space="preserve"> and appropriately taken into account.  The CMO was aware of the assumptions made by Professor Woolhouse along with the considerable uncertainties surrounding them (in particular in relation to the size of the case fatality ratio).  Absolute numbers for </w:t>
      </w:r>
      <w:r>
        <w:rPr>
          <w:rFonts w:ascii="Arial" w:hAnsi="Arial" w:cs="Arial"/>
          <w:sz w:val="22"/>
          <w:szCs w:val="22"/>
          <w:lang w:val="en-US"/>
        </w:rPr>
        <w:t>Northern Ireland</w:t>
      </w:r>
      <w:r w:rsidRPr="00D86495">
        <w:rPr>
          <w:rFonts w:ascii="Arial" w:hAnsi="Arial" w:cs="Arial"/>
          <w:sz w:val="22"/>
          <w:szCs w:val="22"/>
          <w:lang w:val="en-US"/>
        </w:rPr>
        <w:t xml:space="preserve"> were calculated and shared with Minister Swann and COBR around 9 March 2020 at an early stage in the pandemic which illustrate this point (INQ000425601).  </w:t>
      </w:r>
    </w:p>
    <w:p w14:paraId="59A441E4" w14:textId="77777777" w:rsidR="00CD1632" w:rsidRPr="00D86495" w:rsidRDefault="00CD1632" w:rsidP="00CD1632">
      <w:pPr>
        <w:pStyle w:val="ListParagraph"/>
        <w:spacing w:line="276" w:lineRule="auto"/>
        <w:jc w:val="both"/>
        <w:rPr>
          <w:rFonts w:ascii="Arial" w:hAnsi="Arial" w:cs="Arial"/>
          <w:sz w:val="22"/>
          <w:szCs w:val="22"/>
          <w:lang w:val="en-US"/>
        </w:rPr>
      </w:pPr>
    </w:p>
    <w:p w14:paraId="0D809E13"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It should not be interpreted that Professor Woolhouse's email gave specific insight into how Scotland might fare in the pandemic or led to Scotland being better prepared than other UK nations.  </w:t>
      </w:r>
      <w:r>
        <w:rPr>
          <w:rFonts w:ascii="Arial" w:hAnsi="Arial" w:cs="Arial"/>
          <w:sz w:val="22"/>
          <w:szCs w:val="22"/>
          <w:lang w:val="en-US"/>
        </w:rPr>
        <w:t>Northern Ireland</w:t>
      </w:r>
      <w:r w:rsidRPr="00D86495">
        <w:rPr>
          <w:rFonts w:ascii="Arial" w:hAnsi="Arial" w:cs="Arial"/>
          <w:sz w:val="22"/>
          <w:szCs w:val="22"/>
          <w:lang w:val="en-US"/>
        </w:rPr>
        <w:t xml:space="preserve"> specific modelling beyond the calculation of 9 March 2020 did not have value until there was</w:t>
      </w:r>
      <w:r w:rsidRPr="00BF1A44">
        <w:rPr>
          <w:rFonts w:ascii="Arial" w:hAnsi="Arial" w:cs="Arial"/>
          <w:sz w:val="22"/>
          <w:szCs w:val="22"/>
          <w:lang w:val="en-US"/>
        </w:rPr>
        <w:t xml:space="preserve"> </w:t>
      </w:r>
      <w:r>
        <w:rPr>
          <w:rFonts w:ascii="Arial" w:hAnsi="Arial" w:cs="Arial"/>
          <w:sz w:val="22"/>
          <w:szCs w:val="22"/>
          <w:lang w:val="en-US"/>
        </w:rPr>
        <w:t>Northern Ireland</w:t>
      </w:r>
      <w:r w:rsidRPr="00D86495">
        <w:rPr>
          <w:rFonts w:ascii="Arial" w:hAnsi="Arial" w:cs="Arial"/>
          <w:sz w:val="22"/>
          <w:szCs w:val="22"/>
          <w:lang w:val="en-US"/>
        </w:rPr>
        <w:t xml:space="preserve"> specific data.  The point when </w:t>
      </w:r>
      <w:r>
        <w:rPr>
          <w:rFonts w:ascii="Arial" w:hAnsi="Arial" w:cs="Arial"/>
          <w:sz w:val="22"/>
          <w:szCs w:val="22"/>
          <w:lang w:val="en-US"/>
        </w:rPr>
        <w:t>Northern Ireland</w:t>
      </w:r>
      <w:r w:rsidRPr="00D86495">
        <w:rPr>
          <w:rFonts w:ascii="Arial" w:hAnsi="Arial" w:cs="Arial"/>
          <w:sz w:val="22"/>
          <w:szCs w:val="22"/>
          <w:lang w:val="en-US"/>
        </w:rPr>
        <w:t xml:space="preserve"> data began to emerge was just before the CSA returned to work on 23 March 2020, and specific modelling was therefore carried out in a timely way to inform the </w:t>
      </w:r>
      <w:r>
        <w:rPr>
          <w:rFonts w:ascii="Arial" w:hAnsi="Arial" w:cs="Arial"/>
          <w:sz w:val="22"/>
          <w:szCs w:val="22"/>
          <w:lang w:val="en-US"/>
        </w:rPr>
        <w:t>Northern Ireland</w:t>
      </w:r>
      <w:r w:rsidRPr="00D86495">
        <w:rPr>
          <w:rFonts w:ascii="Arial" w:hAnsi="Arial" w:cs="Arial"/>
          <w:sz w:val="22"/>
          <w:szCs w:val="22"/>
          <w:lang w:val="en-US"/>
        </w:rPr>
        <w:t xml:space="preserve"> response. </w:t>
      </w:r>
    </w:p>
    <w:p w14:paraId="1A3CF501" w14:textId="77777777" w:rsidR="00CD1632" w:rsidRPr="00A00D46" w:rsidRDefault="00CD1632" w:rsidP="00CD1632">
      <w:pPr>
        <w:pStyle w:val="ListParagraph"/>
        <w:rPr>
          <w:rFonts w:ascii="Arial" w:hAnsi="Arial" w:cs="Arial"/>
          <w:sz w:val="22"/>
          <w:szCs w:val="22"/>
          <w:lang w:val="en-US"/>
        </w:rPr>
      </w:pPr>
    </w:p>
    <w:p w14:paraId="2F8FE063" w14:textId="77777777" w:rsidR="00CD1632" w:rsidRDefault="00CD1632" w:rsidP="00CD1632">
      <w:pPr>
        <w:pStyle w:val="ListParagraph"/>
        <w:spacing w:line="276" w:lineRule="auto"/>
        <w:jc w:val="both"/>
        <w:rPr>
          <w:rFonts w:ascii="Arial" w:hAnsi="Arial" w:cs="Arial"/>
          <w:sz w:val="22"/>
          <w:szCs w:val="22"/>
          <w:lang w:val="en-US"/>
        </w:rPr>
      </w:pPr>
    </w:p>
    <w:p w14:paraId="3D9FF235" w14:textId="77777777" w:rsidR="00CD1632" w:rsidRPr="00A00D46" w:rsidRDefault="00CD1632" w:rsidP="00CD1632">
      <w:pPr>
        <w:pStyle w:val="ListParagraph"/>
        <w:rPr>
          <w:rFonts w:ascii="Arial" w:hAnsi="Arial" w:cs="Arial"/>
          <w:sz w:val="22"/>
          <w:szCs w:val="22"/>
          <w:lang w:val="en-US"/>
        </w:rPr>
      </w:pPr>
    </w:p>
    <w:p w14:paraId="3C1BB698" w14:textId="77777777" w:rsidR="00CD1632" w:rsidRPr="00A00D46" w:rsidRDefault="00CD1632" w:rsidP="00CD1632">
      <w:pPr>
        <w:pStyle w:val="ListParagraph"/>
        <w:spacing w:line="276" w:lineRule="auto"/>
        <w:jc w:val="both"/>
        <w:rPr>
          <w:rFonts w:ascii="Arial" w:hAnsi="Arial" w:cs="Arial"/>
          <w:b/>
          <w:bCs/>
          <w:sz w:val="22"/>
          <w:szCs w:val="22"/>
          <w:u w:val="single"/>
          <w:lang w:val="en-US"/>
        </w:rPr>
      </w:pPr>
      <w:r w:rsidRPr="00A00D46">
        <w:rPr>
          <w:rFonts w:ascii="Arial" w:hAnsi="Arial" w:cs="Arial"/>
          <w:b/>
          <w:bCs/>
          <w:sz w:val="22"/>
          <w:szCs w:val="22"/>
          <w:u w:val="single"/>
          <w:lang w:val="en-US"/>
        </w:rPr>
        <w:t>Discharge of Patients from Hospital into Care Homes</w:t>
      </w:r>
    </w:p>
    <w:p w14:paraId="0E38A8CF" w14:textId="77777777" w:rsidR="00CD1632" w:rsidRPr="00D86495" w:rsidRDefault="00CD1632" w:rsidP="00CD1632">
      <w:pPr>
        <w:pStyle w:val="ListParagraph"/>
        <w:spacing w:line="276" w:lineRule="auto"/>
        <w:jc w:val="both"/>
        <w:rPr>
          <w:rFonts w:ascii="Arial" w:hAnsi="Arial" w:cs="Arial"/>
          <w:sz w:val="22"/>
          <w:szCs w:val="22"/>
          <w:lang w:val="en-US"/>
        </w:rPr>
      </w:pPr>
    </w:p>
    <w:p w14:paraId="2EB0BA88"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The decision to discharge a person after a hospital admission is an important clinical judgment taken by senior medical professionals, typically consultants. It is a decision that is taken seriously, balancing the benefits versus the risks to the individual remaining in hospital when medically fit to be discharged.  Effective discharge of patients in line with their healthcare needs is important to ensure individual patient safety and was central to decision making.  In addition, ensuring that discharge arrangements were optimal was an important part of Northern Ireland surge plans from the early stages of the pandemic response. The use of spare capacity in </w:t>
      </w:r>
      <w:r>
        <w:rPr>
          <w:rFonts w:ascii="Arial" w:hAnsi="Arial" w:cs="Arial"/>
          <w:sz w:val="22"/>
          <w:szCs w:val="22"/>
          <w:lang w:val="en-US"/>
        </w:rPr>
        <w:t>C</w:t>
      </w:r>
      <w:r w:rsidRPr="00D86495">
        <w:rPr>
          <w:rFonts w:ascii="Arial" w:hAnsi="Arial" w:cs="Arial"/>
          <w:sz w:val="22"/>
          <w:szCs w:val="22"/>
          <w:lang w:val="en-US"/>
        </w:rPr>
        <w:t xml:space="preserve">are </w:t>
      </w:r>
      <w:r>
        <w:rPr>
          <w:rFonts w:ascii="Arial" w:hAnsi="Arial" w:cs="Arial"/>
          <w:sz w:val="22"/>
          <w:szCs w:val="22"/>
          <w:lang w:val="en-US"/>
        </w:rPr>
        <w:t>H</w:t>
      </w:r>
      <w:r w:rsidRPr="00D86495">
        <w:rPr>
          <w:rFonts w:ascii="Arial" w:hAnsi="Arial" w:cs="Arial"/>
          <w:sz w:val="22"/>
          <w:szCs w:val="22"/>
          <w:lang w:val="en-US"/>
        </w:rPr>
        <w:t>omes represented one of a range of possible discharge arrangements, which also included discharge to the patient’s own home or to residential or domiciliary care facilities</w:t>
      </w:r>
      <w:r>
        <w:rPr>
          <w:rFonts w:ascii="Arial" w:hAnsi="Arial" w:cs="Arial"/>
          <w:sz w:val="22"/>
          <w:szCs w:val="22"/>
          <w:lang w:val="en-US"/>
        </w:rPr>
        <w:t>: decisions in respect of which were only taken if the patient was considered medically fit for discharge</w:t>
      </w:r>
      <w:r w:rsidRPr="00D86495">
        <w:rPr>
          <w:rFonts w:ascii="Arial" w:hAnsi="Arial" w:cs="Arial"/>
          <w:sz w:val="22"/>
          <w:szCs w:val="22"/>
          <w:lang w:val="en-US"/>
        </w:rPr>
        <w:t>.</w:t>
      </w:r>
    </w:p>
    <w:p w14:paraId="4CF0C920" w14:textId="77777777" w:rsidR="00CD1632" w:rsidRPr="00D86495" w:rsidRDefault="00CD1632" w:rsidP="00CD1632">
      <w:pPr>
        <w:pStyle w:val="ListParagraph"/>
        <w:spacing w:line="276" w:lineRule="auto"/>
        <w:jc w:val="both"/>
        <w:rPr>
          <w:rFonts w:ascii="Arial" w:hAnsi="Arial" w:cs="Arial"/>
          <w:sz w:val="22"/>
          <w:szCs w:val="22"/>
          <w:lang w:val="en-US"/>
        </w:rPr>
      </w:pPr>
    </w:p>
    <w:p w14:paraId="4C60A2AC" w14:textId="77777777"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Early recognition that </w:t>
      </w:r>
      <w:proofErr w:type="gramStart"/>
      <w:r w:rsidRPr="00D86495">
        <w:rPr>
          <w:rFonts w:ascii="Arial" w:hAnsi="Arial" w:cs="Arial"/>
          <w:sz w:val="22"/>
          <w:szCs w:val="22"/>
          <w:lang w:val="en-US"/>
        </w:rPr>
        <w:t>Care</w:t>
      </w:r>
      <w:proofErr w:type="gramEnd"/>
      <w:r w:rsidRPr="00D86495">
        <w:rPr>
          <w:rFonts w:ascii="Arial" w:hAnsi="Arial" w:cs="Arial"/>
          <w:sz w:val="22"/>
          <w:szCs w:val="22"/>
          <w:lang w:val="en-US"/>
        </w:rPr>
        <w:t xml:space="preserve"> Home residents were at particular risk if exposed to Covid-19 led to DoH issuing dedicated guidance for the management of Covid-19 in residential and nursing Care Homes on 17 March 2020. The guidance set out actions for both Health and Social Care Trusts and for Care Homes, and asked Trusts to work in partnership with Care Homes. The guidance provided detail on the use of Personal Protective Equipment and references were made to infection management, infection prevention and control, and to admission and discharge.  The guidance was updated throughout the pandemic. Testing for Covid-19 on discharge to a Care Home, when it was introduced on 19 April 2020 was one element of the package of measures for Care Homes in Northern Ireland.  While the measures introduced to protect vulnerable Care Home residents were of benefit in terms of reducing risk, it is </w:t>
      </w:r>
      <w:proofErr w:type="spellStart"/>
      <w:r w:rsidRPr="00D86495">
        <w:rPr>
          <w:rFonts w:ascii="Arial" w:hAnsi="Arial" w:cs="Arial"/>
          <w:sz w:val="22"/>
          <w:szCs w:val="22"/>
          <w:lang w:val="en-US"/>
        </w:rPr>
        <w:t>recognised</w:t>
      </w:r>
      <w:proofErr w:type="spellEnd"/>
      <w:r w:rsidRPr="00D86495">
        <w:rPr>
          <w:rFonts w:ascii="Arial" w:hAnsi="Arial" w:cs="Arial"/>
          <w:sz w:val="22"/>
          <w:szCs w:val="22"/>
          <w:lang w:val="en-US"/>
        </w:rPr>
        <w:t xml:space="preserve"> that the resultant need for isolation undoubtedly resulted in distress for residents, families and staff.  </w:t>
      </w:r>
    </w:p>
    <w:p w14:paraId="324D765A" w14:textId="77777777" w:rsidR="00CD1632" w:rsidRPr="00D86495" w:rsidRDefault="00CD1632" w:rsidP="00CD1632">
      <w:pPr>
        <w:pStyle w:val="ListParagraph"/>
        <w:spacing w:line="276" w:lineRule="auto"/>
        <w:jc w:val="both"/>
        <w:rPr>
          <w:rFonts w:ascii="Arial" w:hAnsi="Arial" w:cs="Arial"/>
          <w:sz w:val="22"/>
          <w:szCs w:val="22"/>
          <w:lang w:val="en-US"/>
        </w:rPr>
      </w:pPr>
      <w:r w:rsidRPr="00D86495">
        <w:rPr>
          <w:rFonts w:ascii="Arial" w:hAnsi="Arial" w:cs="Arial"/>
          <w:sz w:val="22"/>
          <w:szCs w:val="22"/>
          <w:lang w:val="en-US"/>
        </w:rPr>
        <w:t xml:space="preserve"> </w:t>
      </w:r>
    </w:p>
    <w:p w14:paraId="60C23AAD" w14:textId="0DE7162C" w:rsidR="00CD1632" w:rsidRPr="00D86495"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 xml:space="preserve">It has been suggested that, early in the pandemic, discharge of patients from hospital without Covid-19 testing was a major cause of transmission in Care Homes.  </w:t>
      </w:r>
      <w:r>
        <w:rPr>
          <w:rFonts w:ascii="Arial" w:hAnsi="Arial" w:cs="Arial"/>
          <w:sz w:val="22"/>
          <w:szCs w:val="22"/>
          <w:lang w:val="en-US"/>
        </w:rPr>
        <w:t>This hypothesis</w:t>
      </w:r>
      <w:r w:rsidRPr="00D86495">
        <w:rPr>
          <w:rFonts w:ascii="Arial" w:hAnsi="Arial" w:cs="Arial"/>
          <w:sz w:val="22"/>
          <w:szCs w:val="22"/>
          <w:lang w:val="en-US"/>
        </w:rPr>
        <w:t xml:space="preserve"> is unsupported by any evidence.  Indeed, the evidence clearly shows that discharge of patients from hospital, at most made a minor contribution to Covid-19 outbreaks in Care Homes, which were largely driven by other factors</w:t>
      </w:r>
      <w:r w:rsidR="000F256E">
        <w:rPr>
          <w:rFonts w:ascii="Arial" w:hAnsi="Arial" w:cs="Arial"/>
          <w:sz w:val="22"/>
          <w:szCs w:val="22"/>
          <w:lang w:val="en-US"/>
        </w:rPr>
        <w:t xml:space="preserve">. </w:t>
      </w:r>
      <w:r w:rsidRPr="00D86495">
        <w:rPr>
          <w:rFonts w:ascii="Arial" w:hAnsi="Arial" w:cs="Arial"/>
          <w:sz w:val="22"/>
          <w:szCs w:val="22"/>
          <w:lang w:val="en-US"/>
        </w:rPr>
        <w:t>Covid-19 outbreaks in Care Homes throughout the pandemic were not related to hospital discharges, but rather to levels of community transmission of the virus, the size of the Care Home, and the extent of movements in and out of the Care Home (which were mainly movements of staff).</w:t>
      </w:r>
    </w:p>
    <w:p w14:paraId="1651F2D7" w14:textId="77777777" w:rsidR="00CD1632" w:rsidRPr="00D86495" w:rsidRDefault="00CD1632" w:rsidP="00CD1632">
      <w:pPr>
        <w:pStyle w:val="ListParagraph"/>
        <w:spacing w:line="276" w:lineRule="auto"/>
        <w:jc w:val="both"/>
        <w:rPr>
          <w:rFonts w:ascii="Arial" w:hAnsi="Arial" w:cs="Arial"/>
          <w:sz w:val="22"/>
          <w:szCs w:val="22"/>
          <w:lang w:val="en-US"/>
        </w:rPr>
      </w:pPr>
    </w:p>
    <w:p w14:paraId="60DDDC79"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sidRPr="00D86495">
        <w:rPr>
          <w:rFonts w:ascii="Arial" w:hAnsi="Arial" w:cs="Arial"/>
          <w:sz w:val="22"/>
          <w:szCs w:val="22"/>
          <w:lang w:val="en-US"/>
        </w:rPr>
        <w:t>Lack of Covid-19 testing capacity early in the pandemic impacted on a range of policy decisions, including testing of patients on discharge from hospital.  While the absence of testing prior to discharge, along with other recommended mitigations taken by Care Homes, had relatively little impact on Care Home outbreaks (as discussed above), it was identified as a priority at an early stage and introduced as soon as increasing testing capacity allowed.</w:t>
      </w:r>
    </w:p>
    <w:p w14:paraId="3A5FFAE7" w14:textId="77777777" w:rsidR="00CD1632" w:rsidRPr="00530492" w:rsidRDefault="00CD1632" w:rsidP="00CD1632">
      <w:pPr>
        <w:pStyle w:val="ListParagraph"/>
        <w:rPr>
          <w:rFonts w:ascii="Arial" w:hAnsi="Arial" w:cs="Arial"/>
          <w:sz w:val="22"/>
          <w:szCs w:val="22"/>
          <w:lang w:val="en-US"/>
        </w:rPr>
      </w:pPr>
    </w:p>
    <w:p w14:paraId="0F294DCE" w14:textId="77777777" w:rsidR="00CD1632" w:rsidRPr="00530492" w:rsidRDefault="00CD1632" w:rsidP="00CD1632">
      <w:pPr>
        <w:pStyle w:val="ListParagraph"/>
        <w:spacing w:line="276" w:lineRule="auto"/>
        <w:jc w:val="both"/>
        <w:rPr>
          <w:rFonts w:ascii="Arial" w:hAnsi="Arial" w:cs="Arial"/>
          <w:b/>
          <w:bCs/>
          <w:sz w:val="22"/>
          <w:szCs w:val="22"/>
          <w:u w:val="single"/>
          <w:lang w:val="en-US"/>
        </w:rPr>
      </w:pPr>
      <w:r w:rsidRPr="00530492">
        <w:rPr>
          <w:rFonts w:ascii="Arial" w:hAnsi="Arial" w:cs="Arial"/>
          <w:b/>
          <w:bCs/>
          <w:sz w:val="22"/>
          <w:szCs w:val="22"/>
          <w:u w:val="single"/>
          <w:lang w:val="en-US"/>
        </w:rPr>
        <w:t>The Scope of the CMO’s Role</w:t>
      </w:r>
    </w:p>
    <w:p w14:paraId="3E9AA22A" w14:textId="77777777" w:rsidR="00CD1632" w:rsidRPr="00E10BA7" w:rsidRDefault="00CD1632" w:rsidP="00CD1632">
      <w:pPr>
        <w:pStyle w:val="ListParagraph"/>
        <w:spacing w:line="276" w:lineRule="auto"/>
        <w:jc w:val="both"/>
        <w:rPr>
          <w:rFonts w:ascii="Arial" w:hAnsi="Arial" w:cs="Arial"/>
          <w:sz w:val="22"/>
          <w:szCs w:val="22"/>
          <w:lang w:val="en-US"/>
        </w:rPr>
      </w:pPr>
    </w:p>
    <w:p w14:paraId="4D4C064A" w14:textId="77777777" w:rsidR="00CD1632" w:rsidRDefault="00CD1632" w:rsidP="00CD1632">
      <w:pPr>
        <w:pStyle w:val="ListParagraph"/>
        <w:numPr>
          <w:ilvl w:val="0"/>
          <w:numId w:val="7"/>
        </w:numPr>
        <w:spacing w:line="276" w:lineRule="auto"/>
        <w:jc w:val="both"/>
        <w:rPr>
          <w:rFonts w:ascii="Arial" w:hAnsi="Arial" w:cs="Arial"/>
          <w:sz w:val="22"/>
          <w:szCs w:val="22"/>
          <w:lang w:val="en-US"/>
        </w:rPr>
      </w:pPr>
      <w:r w:rsidRPr="00E10BA7">
        <w:rPr>
          <w:rFonts w:ascii="Arial" w:hAnsi="Arial" w:cs="Arial"/>
          <w:sz w:val="22"/>
          <w:szCs w:val="22"/>
          <w:lang w:val="en-US"/>
        </w:rPr>
        <w:t xml:space="preserve">In the course of the Inquiry’s hearings it was apparent that that some were concerned that the CMO had exceeded or </w:t>
      </w:r>
      <w:r>
        <w:rPr>
          <w:rFonts w:ascii="Arial" w:hAnsi="Arial" w:cs="Arial"/>
          <w:sz w:val="22"/>
          <w:szCs w:val="22"/>
          <w:lang w:val="en-US"/>
        </w:rPr>
        <w:t>‘</w:t>
      </w:r>
      <w:r w:rsidRPr="00E10BA7">
        <w:rPr>
          <w:rFonts w:ascii="Arial" w:hAnsi="Arial" w:cs="Arial"/>
          <w:sz w:val="22"/>
          <w:szCs w:val="22"/>
          <w:lang w:val="en-US"/>
        </w:rPr>
        <w:t>overreached</w:t>
      </w:r>
      <w:r>
        <w:rPr>
          <w:rFonts w:ascii="Arial" w:hAnsi="Arial" w:cs="Arial"/>
          <w:sz w:val="22"/>
          <w:szCs w:val="22"/>
          <w:lang w:val="en-US"/>
        </w:rPr>
        <w:t>’</w:t>
      </w:r>
      <w:r w:rsidRPr="00E10BA7">
        <w:rPr>
          <w:rFonts w:ascii="Arial" w:hAnsi="Arial" w:cs="Arial"/>
          <w:sz w:val="22"/>
          <w:szCs w:val="22"/>
          <w:lang w:val="en-US"/>
        </w:rPr>
        <w:t xml:space="preserve"> his role.  In this context, it should be recalled that the role of the CMO was mandated by the ERP, which required the CMO </w:t>
      </w:r>
      <w:r w:rsidRPr="00530492">
        <w:rPr>
          <w:rFonts w:ascii="Arial" w:hAnsi="Arial" w:cs="Arial"/>
          <w:i/>
          <w:iCs/>
          <w:sz w:val="22"/>
          <w:szCs w:val="22"/>
          <w:lang w:val="en-US"/>
        </w:rPr>
        <w:t>inter alia</w:t>
      </w:r>
      <w:r w:rsidRPr="00E10BA7">
        <w:rPr>
          <w:rFonts w:ascii="Arial" w:hAnsi="Arial" w:cs="Arial"/>
          <w:sz w:val="22"/>
          <w:szCs w:val="22"/>
          <w:lang w:val="en-US"/>
        </w:rPr>
        <w:t xml:space="preserve"> to: chair the SOC meetings; provide strategic direction and coordination to the HSC response; and provide advice and support to the Minister and to other </w:t>
      </w:r>
      <w:r>
        <w:rPr>
          <w:rFonts w:ascii="Arial" w:hAnsi="Arial" w:cs="Arial"/>
          <w:sz w:val="22"/>
          <w:szCs w:val="22"/>
          <w:lang w:val="en-US"/>
        </w:rPr>
        <w:t>d</w:t>
      </w:r>
      <w:r w:rsidRPr="00E10BA7">
        <w:rPr>
          <w:rFonts w:ascii="Arial" w:hAnsi="Arial" w:cs="Arial"/>
          <w:sz w:val="22"/>
          <w:szCs w:val="22"/>
          <w:lang w:val="en-US"/>
        </w:rPr>
        <w:t xml:space="preserve">epartments.  The detail of these roles is set out in the CMO’s </w:t>
      </w:r>
      <w:proofErr w:type="gramStart"/>
      <w:r w:rsidRPr="00E10BA7">
        <w:rPr>
          <w:rFonts w:ascii="Arial" w:hAnsi="Arial" w:cs="Arial"/>
          <w:sz w:val="22"/>
          <w:szCs w:val="22"/>
          <w:lang w:val="en-US"/>
        </w:rPr>
        <w:t>statements, and</w:t>
      </w:r>
      <w:proofErr w:type="gramEnd"/>
      <w:r w:rsidRPr="00E10BA7">
        <w:rPr>
          <w:rFonts w:ascii="Arial" w:hAnsi="Arial" w:cs="Arial"/>
          <w:sz w:val="22"/>
          <w:szCs w:val="22"/>
          <w:lang w:val="en-US"/>
        </w:rPr>
        <w:t xml:space="preserve"> permits the conclusion that his actions were consonant with his role and responsibilities. </w:t>
      </w:r>
    </w:p>
    <w:p w14:paraId="789A2756" w14:textId="77777777" w:rsidR="00CD1632" w:rsidRPr="00E10BA7" w:rsidRDefault="00CD1632" w:rsidP="00CD1632">
      <w:pPr>
        <w:pStyle w:val="ListParagraph"/>
        <w:spacing w:line="276" w:lineRule="auto"/>
        <w:jc w:val="both"/>
        <w:rPr>
          <w:rFonts w:ascii="Arial" w:hAnsi="Arial" w:cs="Arial"/>
          <w:sz w:val="22"/>
          <w:szCs w:val="22"/>
          <w:lang w:val="en-US"/>
        </w:rPr>
      </w:pPr>
    </w:p>
    <w:p w14:paraId="4CE40202" w14:textId="77777777" w:rsidR="00CD1632" w:rsidRPr="00E10BA7" w:rsidRDefault="00CD1632" w:rsidP="00CD1632">
      <w:pPr>
        <w:pStyle w:val="ListParagraph"/>
        <w:numPr>
          <w:ilvl w:val="0"/>
          <w:numId w:val="7"/>
        </w:numPr>
        <w:spacing w:line="276" w:lineRule="auto"/>
        <w:jc w:val="both"/>
        <w:rPr>
          <w:rFonts w:ascii="Arial" w:hAnsi="Arial" w:cs="Arial"/>
          <w:sz w:val="22"/>
          <w:szCs w:val="22"/>
          <w:lang w:val="en-US"/>
        </w:rPr>
      </w:pPr>
      <w:r w:rsidRPr="00E10BA7">
        <w:rPr>
          <w:rFonts w:ascii="Arial" w:hAnsi="Arial" w:cs="Arial"/>
          <w:sz w:val="22"/>
          <w:szCs w:val="22"/>
          <w:lang w:val="en-US"/>
        </w:rPr>
        <w:t>By necessity and design, the full activation of the ERP and the establishment of Health Gold Command resulted in DoH becoming directly involved in the HSC response for the duration of the initial emergency response phase, during the period in which Health Gold Command was in operation.  This was within the parameters set out in paragraph 4.3 in the ERP .  Further the terms of reference for the Health Gold Command Strategic Cell, which the CMO chaired, are set out in Annex F of the ERP (INQ000184662) as follows:</w:t>
      </w:r>
    </w:p>
    <w:p w14:paraId="622DD2A1" w14:textId="77777777" w:rsidR="00CD1632" w:rsidRPr="00530492" w:rsidRDefault="00CD1632" w:rsidP="00CD1632">
      <w:pPr>
        <w:spacing w:line="276" w:lineRule="auto"/>
        <w:ind w:left="1440"/>
        <w:jc w:val="both"/>
        <w:rPr>
          <w:rFonts w:ascii="Arial" w:hAnsi="Arial" w:cs="Arial"/>
          <w:sz w:val="22"/>
          <w:szCs w:val="22"/>
          <w:lang w:val="en-US"/>
        </w:rPr>
      </w:pPr>
      <w:r w:rsidRPr="00530492">
        <w:rPr>
          <w:rFonts w:ascii="Arial" w:hAnsi="Arial" w:cs="Arial"/>
          <w:sz w:val="22"/>
          <w:szCs w:val="22"/>
          <w:lang w:val="en-US"/>
        </w:rPr>
        <w:t>“</w:t>
      </w:r>
      <w:r w:rsidRPr="00530492">
        <w:rPr>
          <w:rFonts w:ascii="Arial" w:hAnsi="Arial" w:cs="Arial"/>
          <w:i/>
          <w:iCs/>
          <w:sz w:val="22"/>
          <w:szCs w:val="22"/>
          <w:lang w:val="en-US"/>
        </w:rPr>
        <w:t>To provide strategic direction, advice and leadership to HSC organisations and, where appropriate, to emergency responders, and to provide wider strategic health advice to: DoH (including Minister and senior officials); other Government Departments (Executive or UK departments such as NIO); emergency responders; UK-wide emergency response structures (including NSC / COBR / NIOBR / CMG / NICCMA); and the media and wider public</w:t>
      </w:r>
      <w:r w:rsidRPr="00530492">
        <w:rPr>
          <w:rFonts w:ascii="Arial" w:hAnsi="Arial" w:cs="Arial"/>
          <w:sz w:val="22"/>
          <w:szCs w:val="22"/>
          <w:lang w:val="en-US"/>
        </w:rPr>
        <w:t>.”</w:t>
      </w:r>
    </w:p>
    <w:p w14:paraId="12F64468" w14:textId="77777777" w:rsidR="00CD1632" w:rsidRPr="002B645C" w:rsidRDefault="00CD1632" w:rsidP="00CD1632">
      <w:pPr>
        <w:spacing w:line="276" w:lineRule="auto"/>
        <w:ind w:left="360"/>
        <w:jc w:val="both"/>
        <w:rPr>
          <w:rFonts w:ascii="Arial" w:hAnsi="Arial" w:cs="Arial"/>
          <w:sz w:val="22"/>
          <w:szCs w:val="22"/>
          <w:lang w:val="en-US"/>
        </w:rPr>
      </w:pPr>
    </w:p>
    <w:p w14:paraId="0CAAFC10" w14:textId="77777777" w:rsidR="00CD1632" w:rsidRPr="00A00D46" w:rsidRDefault="00CD1632" w:rsidP="00CD1632">
      <w:pPr>
        <w:pStyle w:val="ListParagraph"/>
        <w:spacing w:line="276" w:lineRule="auto"/>
        <w:jc w:val="both"/>
        <w:rPr>
          <w:rFonts w:ascii="Arial" w:hAnsi="Arial" w:cs="Arial"/>
          <w:sz w:val="22"/>
          <w:szCs w:val="22"/>
          <w:lang w:val="en-US"/>
        </w:rPr>
      </w:pPr>
    </w:p>
    <w:p w14:paraId="1694A0B8" w14:textId="77777777" w:rsidR="00CD1632" w:rsidRPr="00A00D46" w:rsidRDefault="00CD1632" w:rsidP="00CD1632">
      <w:pPr>
        <w:pStyle w:val="ListParagraph"/>
        <w:spacing w:line="276" w:lineRule="auto"/>
        <w:jc w:val="both"/>
        <w:rPr>
          <w:rFonts w:ascii="Arial" w:hAnsi="Arial" w:cs="Arial"/>
          <w:b/>
          <w:bCs/>
          <w:sz w:val="22"/>
          <w:szCs w:val="22"/>
          <w:u w:val="single"/>
          <w:lang w:val="en-US"/>
        </w:rPr>
      </w:pPr>
      <w:r w:rsidRPr="00A00D46">
        <w:rPr>
          <w:rFonts w:ascii="Arial" w:hAnsi="Arial" w:cs="Arial"/>
          <w:b/>
          <w:bCs/>
          <w:sz w:val="22"/>
          <w:szCs w:val="22"/>
          <w:u w:val="single"/>
          <w:lang w:val="en-US"/>
        </w:rPr>
        <w:t xml:space="preserve">Conclusion </w:t>
      </w:r>
    </w:p>
    <w:p w14:paraId="5EE68171" w14:textId="77777777" w:rsidR="00CD1632" w:rsidRPr="00A00D46" w:rsidRDefault="00CD1632" w:rsidP="00CD1632">
      <w:pPr>
        <w:pStyle w:val="ListParagraph"/>
        <w:spacing w:line="276" w:lineRule="auto"/>
        <w:jc w:val="both"/>
        <w:rPr>
          <w:rFonts w:ascii="Arial" w:hAnsi="Arial" w:cs="Arial"/>
          <w:sz w:val="22"/>
          <w:szCs w:val="22"/>
        </w:rPr>
      </w:pPr>
    </w:p>
    <w:p w14:paraId="4C00BAA5" w14:textId="77777777" w:rsidR="00CD1632" w:rsidRPr="00A00D46" w:rsidRDefault="00CD1632" w:rsidP="00CD1632">
      <w:pPr>
        <w:pStyle w:val="ListParagraph"/>
        <w:numPr>
          <w:ilvl w:val="0"/>
          <w:numId w:val="7"/>
        </w:numPr>
        <w:spacing w:line="276" w:lineRule="auto"/>
        <w:jc w:val="both"/>
        <w:rPr>
          <w:rFonts w:ascii="Arial" w:hAnsi="Arial" w:cs="Arial"/>
          <w:sz w:val="22"/>
          <w:szCs w:val="22"/>
        </w:rPr>
      </w:pPr>
      <w:r w:rsidRPr="00A00D46">
        <w:rPr>
          <w:rFonts w:ascii="Arial" w:hAnsi="Arial" w:cs="Arial"/>
          <w:sz w:val="22"/>
          <w:szCs w:val="22"/>
        </w:rPr>
        <w:t xml:space="preserve">Given the potential for another pandemic, it is essential that lessons are identified and fully learned across health and social care and all parts of Government. The DoH is grateful for the opportunity to assist the Inquiry in respect of Module 2C and wishes to conclude these written closing submissions by assuring the Inquiry of its  assistance in its future modules and work. </w:t>
      </w:r>
    </w:p>
    <w:p w14:paraId="530529AD" w14:textId="77777777" w:rsidR="00CD1632" w:rsidRPr="00A00D46" w:rsidRDefault="00CD1632" w:rsidP="00CD1632">
      <w:pPr>
        <w:pStyle w:val="ListParagraph"/>
        <w:spacing w:line="276" w:lineRule="auto"/>
        <w:jc w:val="both"/>
        <w:rPr>
          <w:rFonts w:ascii="Arial" w:hAnsi="Arial" w:cs="Arial"/>
          <w:sz w:val="22"/>
          <w:szCs w:val="22"/>
        </w:rPr>
      </w:pPr>
    </w:p>
    <w:p w14:paraId="081CB49B" w14:textId="77777777" w:rsidR="00CD1632" w:rsidRPr="004466BC" w:rsidRDefault="00CD1632" w:rsidP="00CD1632">
      <w:pPr>
        <w:pStyle w:val="ListParagraph"/>
        <w:rPr>
          <w:rFonts w:ascii="Arial" w:hAnsi="Arial" w:cs="Arial"/>
          <w:sz w:val="22"/>
          <w:szCs w:val="22"/>
        </w:rPr>
      </w:pPr>
    </w:p>
    <w:p w14:paraId="50496138" w14:textId="77777777" w:rsidR="00CD1632" w:rsidRPr="004466BC" w:rsidRDefault="00CD1632" w:rsidP="00CD1632">
      <w:pPr>
        <w:spacing w:line="240" w:lineRule="auto"/>
        <w:jc w:val="right"/>
        <w:rPr>
          <w:rFonts w:ascii="Arial" w:hAnsi="Arial" w:cs="Arial"/>
          <w:sz w:val="22"/>
          <w:szCs w:val="22"/>
        </w:rPr>
      </w:pPr>
    </w:p>
    <w:p w14:paraId="2A23830D" w14:textId="77777777" w:rsidR="00CD1632" w:rsidRPr="004466BC" w:rsidRDefault="00CD1632" w:rsidP="00CD1632">
      <w:pPr>
        <w:spacing w:line="240" w:lineRule="auto"/>
        <w:jc w:val="right"/>
        <w:rPr>
          <w:rFonts w:ascii="Arial" w:hAnsi="Arial" w:cs="Arial"/>
          <w:sz w:val="22"/>
          <w:szCs w:val="22"/>
        </w:rPr>
      </w:pPr>
    </w:p>
    <w:p w14:paraId="2F675E2B" w14:textId="77777777" w:rsidR="00CD1632" w:rsidRPr="004466BC" w:rsidRDefault="00CD1632" w:rsidP="00CD1632">
      <w:pPr>
        <w:spacing w:line="240" w:lineRule="auto"/>
        <w:jc w:val="right"/>
        <w:rPr>
          <w:rFonts w:ascii="Arial" w:hAnsi="Arial" w:cs="Arial"/>
          <w:sz w:val="22"/>
          <w:szCs w:val="22"/>
        </w:rPr>
      </w:pPr>
      <w:r w:rsidRPr="004466BC">
        <w:rPr>
          <w:rFonts w:ascii="Arial" w:hAnsi="Arial" w:cs="Arial"/>
          <w:sz w:val="22"/>
          <w:szCs w:val="22"/>
        </w:rPr>
        <w:t xml:space="preserve">Neasa Murnaghan KC </w:t>
      </w:r>
    </w:p>
    <w:p w14:paraId="2B94664C" w14:textId="77777777" w:rsidR="00CD1632" w:rsidRPr="004466BC" w:rsidRDefault="00CD1632" w:rsidP="00CD1632">
      <w:pPr>
        <w:spacing w:line="240" w:lineRule="auto"/>
        <w:jc w:val="right"/>
        <w:rPr>
          <w:rFonts w:ascii="Arial" w:hAnsi="Arial" w:cs="Arial"/>
          <w:sz w:val="22"/>
          <w:szCs w:val="22"/>
        </w:rPr>
      </w:pPr>
      <w:r w:rsidRPr="004466BC">
        <w:rPr>
          <w:rFonts w:ascii="Arial" w:hAnsi="Arial" w:cs="Arial"/>
          <w:sz w:val="22"/>
          <w:szCs w:val="22"/>
        </w:rPr>
        <w:t xml:space="preserve">Fiona Fee KC </w:t>
      </w:r>
    </w:p>
    <w:p w14:paraId="772540CE" w14:textId="77777777" w:rsidR="00CD1632" w:rsidRPr="004466BC" w:rsidRDefault="00CD1632" w:rsidP="00CD1632">
      <w:pPr>
        <w:spacing w:line="240" w:lineRule="auto"/>
        <w:jc w:val="right"/>
        <w:rPr>
          <w:rFonts w:ascii="Arial" w:hAnsi="Arial" w:cs="Arial"/>
          <w:sz w:val="22"/>
          <w:szCs w:val="22"/>
        </w:rPr>
      </w:pPr>
      <w:r w:rsidRPr="004466BC">
        <w:rPr>
          <w:rFonts w:ascii="Arial" w:hAnsi="Arial" w:cs="Arial"/>
          <w:sz w:val="22"/>
          <w:szCs w:val="22"/>
        </w:rPr>
        <w:t xml:space="preserve">Joseph Kennedy </w:t>
      </w:r>
    </w:p>
    <w:p w14:paraId="6B341ED0" w14:textId="77777777" w:rsidR="00CD1632" w:rsidRPr="004466BC" w:rsidRDefault="00CD1632" w:rsidP="00CD1632">
      <w:pPr>
        <w:spacing w:line="240" w:lineRule="auto"/>
        <w:jc w:val="right"/>
        <w:rPr>
          <w:rFonts w:ascii="Arial" w:hAnsi="Arial" w:cs="Arial"/>
          <w:sz w:val="22"/>
          <w:szCs w:val="22"/>
        </w:rPr>
      </w:pPr>
      <w:r w:rsidRPr="004466BC">
        <w:rPr>
          <w:rFonts w:ascii="Arial" w:hAnsi="Arial" w:cs="Arial"/>
          <w:sz w:val="22"/>
          <w:szCs w:val="22"/>
        </w:rPr>
        <w:t xml:space="preserve">Ashleigh Jones </w:t>
      </w:r>
    </w:p>
    <w:p w14:paraId="498EF4B1" w14:textId="77777777" w:rsidR="00CD1632" w:rsidRPr="004466BC" w:rsidRDefault="00CD1632" w:rsidP="00CD1632">
      <w:pPr>
        <w:spacing w:line="240" w:lineRule="auto"/>
        <w:jc w:val="right"/>
        <w:rPr>
          <w:rFonts w:ascii="Arial" w:hAnsi="Arial" w:cs="Arial"/>
          <w:sz w:val="22"/>
          <w:szCs w:val="22"/>
        </w:rPr>
      </w:pPr>
      <w:r w:rsidRPr="004466BC">
        <w:rPr>
          <w:rFonts w:ascii="Arial" w:hAnsi="Arial" w:cs="Arial"/>
          <w:sz w:val="22"/>
          <w:szCs w:val="22"/>
        </w:rPr>
        <w:t xml:space="preserve">Bar Library </w:t>
      </w:r>
    </w:p>
    <w:p w14:paraId="0C4E1022" w14:textId="77777777" w:rsidR="00CD1632" w:rsidRPr="004466BC" w:rsidRDefault="00CD1632" w:rsidP="00CD1632">
      <w:pPr>
        <w:spacing w:line="240" w:lineRule="auto"/>
        <w:jc w:val="right"/>
        <w:rPr>
          <w:rFonts w:ascii="Arial" w:hAnsi="Arial" w:cs="Arial"/>
          <w:sz w:val="22"/>
          <w:szCs w:val="22"/>
        </w:rPr>
      </w:pPr>
      <w:r>
        <w:rPr>
          <w:rFonts w:ascii="Arial" w:hAnsi="Arial" w:cs="Arial"/>
          <w:sz w:val="22"/>
          <w:szCs w:val="22"/>
        </w:rPr>
        <w:t xml:space="preserve">6 </w:t>
      </w:r>
      <w:r w:rsidRPr="004466BC">
        <w:rPr>
          <w:rFonts w:ascii="Arial" w:hAnsi="Arial" w:cs="Arial"/>
          <w:sz w:val="22"/>
          <w:szCs w:val="22"/>
        </w:rPr>
        <w:t>June 2024</w:t>
      </w:r>
    </w:p>
    <w:p w14:paraId="29CD960F" w14:textId="77777777" w:rsidR="00CD1632" w:rsidRPr="004466BC" w:rsidRDefault="00CD1632" w:rsidP="00CD1632">
      <w:pPr>
        <w:rPr>
          <w:rFonts w:ascii="Arial" w:hAnsi="Arial" w:cs="Arial"/>
          <w:sz w:val="22"/>
          <w:szCs w:val="22"/>
          <w:lang w:val="en-US"/>
        </w:rPr>
      </w:pPr>
    </w:p>
    <w:p w14:paraId="4F028FA5" w14:textId="77777777" w:rsidR="00CD1632" w:rsidRPr="004466BC" w:rsidRDefault="00CD1632" w:rsidP="00CD1632">
      <w:pPr>
        <w:rPr>
          <w:rFonts w:ascii="Arial" w:hAnsi="Arial" w:cs="Arial"/>
          <w:sz w:val="22"/>
          <w:szCs w:val="22"/>
          <w:lang w:val="en-US"/>
        </w:rPr>
      </w:pPr>
    </w:p>
    <w:p w14:paraId="304D90BF" w14:textId="77777777" w:rsidR="00CD1632" w:rsidRPr="004466BC" w:rsidRDefault="00CD1632" w:rsidP="00CD1632">
      <w:pPr>
        <w:rPr>
          <w:rFonts w:ascii="Arial" w:hAnsi="Arial" w:cs="Arial"/>
          <w:sz w:val="22"/>
          <w:szCs w:val="22"/>
          <w:lang w:val="en-US"/>
        </w:rPr>
      </w:pPr>
    </w:p>
    <w:p w14:paraId="2AB6C721" w14:textId="77777777" w:rsidR="00CD1632" w:rsidRPr="004466BC" w:rsidRDefault="00CD1632" w:rsidP="00CD1632">
      <w:pPr>
        <w:rPr>
          <w:rFonts w:ascii="Arial" w:hAnsi="Arial" w:cs="Arial"/>
          <w:sz w:val="22"/>
          <w:szCs w:val="22"/>
          <w:lang w:val="en-US"/>
        </w:rPr>
      </w:pPr>
    </w:p>
    <w:p w14:paraId="41020B5D" w14:textId="77777777" w:rsidR="00CD1632" w:rsidRPr="004466BC" w:rsidRDefault="00CD1632" w:rsidP="00CD1632">
      <w:pPr>
        <w:rPr>
          <w:rFonts w:ascii="Arial" w:hAnsi="Arial" w:cs="Arial"/>
          <w:sz w:val="22"/>
          <w:szCs w:val="22"/>
          <w:lang w:val="en-US"/>
        </w:rPr>
      </w:pPr>
    </w:p>
    <w:p w14:paraId="33629E42" w14:textId="77777777" w:rsidR="00CD1632" w:rsidRDefault="00CD1632"/>
    <w:sectPr w:rsidR="00CD1632" w:rsidSect="00CD1632">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E637" w14:textId="77777777" w:rsidR="00802323" w:rsidRDefault="00802323" w:rsidP="00CD1632">
      <w:pPr>
        <w:spacing w:after="0" w:line="240" w:lineRule="auto"/>
      </w:pPr>
      <w:r>
        <w:separator/>
      </w:r>
    </w:p>
  </w:endnote>
  <w:endnote w:type="continuationSeparator" w:id="0">
    <w:p w14:paraId="60A089A5" w14:textId="77777777" w:rsidR="00802323" w:rsidRDefault="00802323" w:rsidP="00CD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494487"/>
      <w:docPartObj>
        <w:docPartGallery w:val="Page Numbers (Bottom of Page)"/>
        <w:docPartUnique/>
      </w:docPartObj>
    </w:sdtPr>
    <w:sdtEndPr>
      <w:rPr>
        <w:rStyle w:val="PageNumber"/>
      </w:rPr>
    </w:sdtEndPr>
    <w:sdtContent>
      <w:p w14:paraId="1BE0E1AC" w14:textId="77777777" w:rsidR="00EB3C32" w:rsidRDefault="00EB3C32" w:rsidP="00EC72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E517D" w14:textId="77777777" w:rsidR="00EB3C32" w:rsidRDefault="00EB3C32" w:rsidP="004D29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501062"/>
      <w:docPartObj>
        <w:docPartGallery w:val="Page Numbers (Bottom of Page)"/>
        <w:docPartUnique/>
      </w:docPartObj>
    </w:sdtPr>
    <w:sdtEndPr>
      <w:rPr>
        <w:rStyle w:val="PageNumber"/>
      </w:rPr>
    </w:sdtEndPr>
    <w:sdtContent>
      <w:p w14:paraId="0729BF52" w14:textId="77777777" w:rsidR="00EB3C32" w:rsidRDefault="00EB3C32" w:rsidP="00EC72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9D6642" w14:textId="77777777" w:rsidR="00EB3C32" w:rsidRDefault="00EB3C32" w:rsidP="004D29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A05B" w14:textId="77777777" w:rsidR="00802323" w:rsidRDefault="00802323" w:rsidP="00CD1632">
      <w:pPr>
        <w:spacing w:after="0" w:line="240" w:lineRule="auto"/>
      </w:pPr>
      <w:r>
        <w:separator/>
      </w:r>
    </w:p>
  </w:footnote>
  <w:footnote w:type="continuationSeparator" w:id="0">
    <w:p w14:paraId="0A3898FB" w14:textId="77777777" w:rsidR="00802323" w:rsidRDefault="00802323" w:rsidP="00CD1632">
      <w:pPr>
        <w:spacing w:after="0" w:line="240" w:lineRule="auto"/>
      </w:pPr>
      <w:r>
        <w:continuationSeparator/>
      </w:r>
    </w:p>
  </w:footnote>
  <w:footnote w:id="1">
    <w:p w14:paraId="3565E428" w14:textId="77777777" w:rsidR="00CD1632" w:rsidRDefault="00CD1632" w:rsidP="00CD1632">
      <w:pPr>
        <w:pStyle w:val="FootnoteText"/>
      </w:pPr>
      <w:r>
        <w:rPr>
          <w:rStyle w:val="FootnoteReference"/>
        </w:rPr>
        <w:footnoteRef/>
      </w:r>
      <w:r>
        <w:t xml:space="preserve"> 1. Communities, 2. Infrastructure, 3. Economy, 4. </w:t>
      </w:r>
      <w:r w:rsidRPr="00A2639E">
        <w:t>Agriculture</w:t>
      </w:r>
      <w:r>
        <w:t>, Environment &amp; Rural Affairs, 5. Education, 6. Finance, 7. Health, 8. Justice &amp; 9. Executive Office</w:t>
      </w:r>
    </w:p>
  </w:footnote>
  <w:footnote w:id="2">
    <w:p w14:paraId="20EE91B3" w14:textId="77777777" w:rsidR="00CD1632" w:rsidRPr="00A00D46" w:rsidRDefault="00CD1632" w:rsidP="00CD1632">
      <w:pPr>
        <w:pStyle w:val="FootnoteText"/>
        <w:rPr>
          <w:lang w:val="en-US"/>
        </w:rPr>
      </w:pPr>
      <w:r>
        <w:rPr>
          <w:rStyle w:val="FootnoteReference"/>
        </w:rPr>
        <w:footnoteRef/>
      </w:r>
      <w:r>
        <w:t xml:space="preserve">  </w:t>
      </w:r>
      <w:r w:rsidRPr="004466BC">
        <w:rPr>
          <w:lang w:val="en-US"/>
        </w:rPr>
        <w:t>with the exception of the Minister of Justice</w:t>
      </w:r>
    </w:p>
  </w:footnote>
  <w:footnote w:id="3">
    <w:p w14:paraId="7B583838" w14:textId="77777777" w:rsidR="00CD1632" w:rsidRDefault="00CD1632" w:rsidP="00CD1632">
      <w:pPr>
        <w:pStyle w:val="FootnoteText"/>
      </w:pPr>
      <w:r>
        <w:rPr>
          <w:rStyle w:val="FootnoteReference"/>
        </w:rPr>
        <w:footnoteRef/>
      </w:r>
      <w:r>
        <w:t xml:space="preserve"> </w:t>
      </w:r>
      <w:hyperlink r:id="rId1" w:history="1">
        <w:r w:rsidRPr="00A03B2D">
          <w:rPr>
            <w:rStyle w:val="Hyperlink"/>
          </w:rPr>
          <w:t>https://www.ons.gov.uk/peoplepopulationandcommunity/populationandmigration/populationestimates/bulletins/annualmidyearpopulationestimates/mid2022</w:t>
        </w:r>
      </w:hyperlink>
    </w:p>
  </w:footnote>
  <w:footnote w:id="4">
    <w:p w14:paraId="0271C564" w14:textId="77777777" w:rsidR="00CD1632" w:rsidRPr="00F457B7" w:rsidRDefault="00CD1632" w:rsidP="00CD1632">
      <w:pPr>
        <w:pStyle w:val="FootnoteText"/>
        <w:rPr>
          <w:lang w:val="en-US"/>
        </w:rPr>
      </w:pPr>
      <w:r>
        <w:rPr>
          <w:rStyle w:val="FootnoteReference"/>
        </w:rPr>
        <w:footnoteRef/>
      </w:r>
      <w:r>
        <w:t xml:space="preserve"> </w:t>
      </w:r>
      <w:r w:rsidRPr="00F457B7">
        <w:rPr>
          <w:lang w:val="en-US"/>
        </w:rPr>
        <w:t>INQ000188750</w:t>
      </w:r>
    </w:p>
  </w:footnote>
  <w:footnote w:id="5">
    <w:p w14:paraId="61AE4958" w14:textId="77777777" w:rsidR="00CD1632" w:rsidRDefault="00CD1632" w:rsidP="00CD1632">
      <w:pPr>
        <w:pStyle w:val="FootnoteText"/>
      </w:pPr>
      <w:r>
        <w:rPr>
          <w:rStyle w:val="FootnoteReference"/>
        </w:rPr>
        <w:footnoteRef/>
      </w:r>
      <w:r>
        <w:t xml:space="preserve"> Agencies and Departments are covered in the definition and</w:t>
      </w:r>
      <w:r w:rsidRPr="00EF301C">
        <w:t xml:space="preserve"> </w:t>
      </w:r>
      <w:r>
        <w:t>e</w:t>
      </w:r>
      <w:r w:rsidRPr="00EF301C">
        <w:t>mergency services</w:t>
      </w:r>
      <w:r>
        <w:t>, Boards, Trusts, NDPBs or District Councils</w:t>
      </w:r>
      <w:r w:rsidRPr="00EF301C">
        <w:t xml:space="preserve"> are not government department</w:t>
      </w:r>
      <w:r>
        <w:t>s</w:t>
      </w:r>
      <w:r w:rsidRPr="00EF301C">
        <w:t xml:space="preserve"> but can be a </w:t>
      </w:r>
      <w:r>
        <w:t>l</w:t>
      </w:r>
      <w:r w:rsidRPr="00EF301C">
        <w:t xml:space="preserve">ead </w:t>
      </w:r>
      <w:r>
        <w:t>o</w:t>
      </w:r>
      <w:r w:rsidRPr="00EF301C">
        <w:t>rganisation.</w:t>
      </w:r>
      <w:r>
        <w:t xml:space="preserve"> (para 212)</w:t>
      </w:r>
    </w:p>
  </w:footnote>
  <w:footnote w:id="6">
    <w:p w14:paraId="7640A1C4" w14:textId="77777777" w:rsidR="00CD1632" w:rsidRDefault="00CD1632" w:rsidP="00CD1632">
      <w:pPr>
        <w:pStyle w:val="FootnoteText"/>
      </w:pPr>
      <w:r>
        <w:rPr>
          <w:rStyle w:val="FootnoteReference"/>
        </w:rPr>
        <w:footnoteRef/>
      </w:r>
      <w:r>
        <w:t xml:space="preserve"> Para 4 of CCG(NI) Protocol – INQ000092739</w:t>
      </w:r>
    </w:p>
  </w:footnote>
  <w:footnote w:id="7">
    <w:p w14:paraId="288AC328" w14:textId="77777777" w:rsidR="00CD1632" w:rsidRDefault="00CD1632" w:rsidP="00CD1632">
      <w:pPr>
        <w:pStyle w:val="FootnoteText"/>
      </w:pPr>
      <w:r>
        <w:rPr>
          <w:rStyle w:val="FootnoteReference"/>
        </w:rPr>
        <w:footnoteRef/>
      </w:r>
      <w:r>
        <w:t xml:space="preserve"> Civil Contingencies Group (NI)</w:t>
      </w:r>
    </w:p>
  </w:footnote>
  <w:footnote w:id="8">
    <w:p w14:paraId="6E6D9F09" w14:textId="77777777" w:rsidR="00CD1632" w:rsidRDefault="00CD1632" w:rsidP="00CD1632">
      <w:pPr>
        <w:pStyle w:val="FootnoteText"/>
      </w:pPr>
      <w:r>
        <w:rPr>
          <w:rStyle w:val="FootnoteReference"/>
        </w:rPr>
        <w:footnoteRef/>
      </w:r>
      <w:r>
        <w:t xml:space="preserve"> Para 3 of CCG(NI) Protocol </w:t>
      </w:r>
    </w:p>
  </w:footnote>
  <w:footnote w:id="9">
    <w:p w14:paraId="7E7AFD60" w14:textId="77777777" w:rsidR="00CD1632" w:rsidRDefault="00CD1632" w:rsidP="00CD1632">
      <w:pPr>
        <w:pStyle w:val="FootnoteText"/>
      </w:pPr>
      <w:r>
        <w:rPr>
          <w:rStyle w:val="FootnoteReference"/>
        </w:rPr>
        <w:footnoteRef/>
      </w:r>
      <w:r>
        <w:t xml:space="preserve"> Para 23 of CCG(NI) Protocol</w:t>
      </w:r>
    </w:p>
  </w:footnote>
  <w:footnote w:id="10">
    <w:p w14:paraId="4F57354C" w14:textId="77777777" w:rsidR="00CD1632" w:rsidRDefault="00CD1632" w:rsidP="00CD1632">
      <w:pPr>
        <w:pStyle w:val="FootnoteText"/>
      </w:pPr>
      <w:r>
        <w:rPr>
          <w:rStyle w:val="FootnoteReference"/>
        </w:rPr>
        <w:footnoteRef/>
      </w:r>
      <w:r>
        <w:t xml:space="preserve"> Para 41 of CCG(NI) Protocol</w:t>
      </w:r>
    </w:p>
  </w:footnote>
  <w:footnote w:id="11">
    <w:p w14:paraId="5FA49453" w14:textId="77777777" w:rsidR="00CD1632" w:rsidRPr="006F164F" w:rsidRDefault="00CD1632" w:rsidP="00CD1632">
      <w:pPr>
        <w:pStyle w:val="FootnoteText"/>
      </w:pPr>
      <w:r w:rsidRPr="00530492">
        <w:rPr>
          <w:rStyle w:val="FootnoteReference"/>
          <w:color w:val="000000" w:themeColor="text1"/>
        </w:rPr>
        <w:footnoteRef/>
      </w:r>
      <w:r w:rsidRPr="00530492">
        <w:rPr>
          <w:color w:val="000000" w:themeColor="text1"/>
        </w:rPr>
        <w:t xml:space="preserve"> INQ000201498</w:t>
      </w:r>
    </w:p>
  </w:footnote>
  <w:footnote w:id="12">
    <w:p w14:paraId="47DB2DB0" w14:textId="77777777" w:rsidR="00CD1632" w:rsidRDefault="00CD1632" w:rsidP="00CD1632">
      <w:pPr>
        <w:pStyle w:val="FootnoteText"/>
      </w:pPr>
      <w:r>
        <w:rPr>
          <w:rStyle w:val="FootnoteReference"/>
        </w:rPr>
        <w:footnoteRef/>
      </w:r>
      <w:r>
        <w:t xml:space="preserve"> Para 9 of CCG(NI) Protocol</w:t>
      </w:r>
    </w:p>
  </w:footnote>
  <w:footnote w:id="13">
    <w:p w14:paraId="3E74843E" w14:textId="77777777" w:rsidR="00CD1632" w:rsidRDefault="00CD1632" w:rsidP="00CD1632">
      <w:pPr>
        <w:pStyle w:val="FootnoteText"/>
        <w:jc w:val="both"/>
      </w:pPr>
      <w:r>
        <w:rPr>
          <w:rStyle w:val="FootnoteReference"/>
        </w:rPr>
        <w:footnoteRef/>
      </w:r>
      <w:r>
        <w:t xml:space="preserve"> See DHSSPS ERP internal page 19 – examples include “</w:t>
      </w:r>
      <w:r w:rsidRPr="00797450">
        <w:rPr>
          <w:i/>
          <w:iCs/>
        </w:rPr>
        <w:t>monitoring of a developing outbreak of Pandemic Influenza or other infectious disease, in which the UK Civil Contingencies Committee (CCC) requires strategic assessments from Northern Ireland.</w:t>
      </w:r>
      <w:r>
        <w:t>”</w:t>
      </w:r>
    </w:p>
  </w:footnote>
  <w:footnote w:id="14">
    <w:p w14:paraId="1702070F" w14:textId="77777777" w:rsidR="00CD1632" w:rsidRDefault="00CD1632" w:rsidP="00CD1632">
      <w:pPr>
        <w:pStyle w:val="FootnoteText"/>
        <w:jc w:val="both"/>
      </w:pPr>
      <w:r>
        <w:rPr>
          <w:rStyle w:val="FootnoteReference"/>
        </w:rPr>
        <w:footnoteRef/>
      </w:r>
      <w:r>
        <w:t xml:space="preserve"> See DHSSPS ERP internal page 21 – examples include “</w:t>
      </w:r>
      <w:r w:rsidRPr="008A48F1">
        <w:rPr>
          <w:i/>
          <w:iCs/>
        </w:rPr>
        <w:t>an outbreak of pandemic influenza or other infectious diseases with sustained community transmission in the UK.</w:t>
      </w:r>
      <w:r>
        <w:t>”</w:t>
      </w:r>
    </w:p>
  </w:footnote>
  <w:footnote w:id="15">
    <w:p w14:paraId="43D57755" w14:textId="77777777" w:rsidR="00CD1632" w:rsidRDefault="00CD1632" w:rsidP="00CD1632">
      <w:pPr>
        <w:pStyle w:val="FootnoteText"/>
        <w:jc w:val="both"/>
      </w:pPr>
      <w:r>
        <w:rPr>
          <w:rStyle w:val="FootnoteReference"/>
        </w:rPr>
        <w:footnoteRef/>
      </w:r>
      <w:r>
        <w:t xml:space="preserve"> See DHSSPS ERP internal page 26 – examples include “</w:t>
      </w:r>
      <w:r w:rsidRPr="006E1A0E">
        <w:rPr>
          <w:i/>
          <w:iCs/>
        </w:rPr>
        <w:t>full strategic response to an outbreak of Pandemic Influenza.</w:t>
      </w:r>
      <w:r>
        <w:t>”</w:t>
      </w:r>
    </w:p>
  </w:footnote>
  <w:footnote w:id="16">
    <w:p w14:paraId="6F4FCA26" w14:textId="77777777" w:rsidR="00CD1632" w:rsidRDefault="00CD1632" w:rsidP="00CD1632">
      <w:pPr>
        <w:pStyle w:val="FootnoteText"/>
      </w:pPr>
      <w:r>
        <w:rPr>
          <w:rStyle w:val="FootnoteReference"/>
        </w:rPr>
        <w:footnoteRef/>
      </w:r>
      <w:r>
        <w:t xml:space="preserve"> Para 13 of CCG(NI) Protocol</w:t>
      </w:r>
    </w:p>
  </w:footnote>
  <w:footnote w:id="17">
    <w:p w14:paraId="630AFE93" w14:textId="77777777" w:rsidR="00CD1632" w:rsidRDefault="00CD1632" w:rsidP="00CD1632">
      <w:pPr>
        <w:pStyle w:val="FootnoteText"/>
      </w:pPr>
      <w:r>
        <w:rPr>
          <w:rStyle w:val="FootnoteReference"/>
        </w:rPr>
        <w:footnoteRef/>
      </w:r>
      <w:r>
        <w:t xml:space="preserve"> INQ000188796</w:t>
      </w:r>
    </w:p>
  </w:footnote>
  <w:footnote w:id="18">
    <w:p w14:paraId="37D54776" w14:textId="09A90C20" w:rsidR="00CD1632" w:rsidRPr="00530492" w:rsidRDefault="00CD1632" w:rsidP="00CD1632">
      <w:pPr>
        <w:pStyle w:val="FootnoteText"/>
        <w:rPr>
          <w:lang w:val="en-US"/>
        </w:rPr>
      </w:pPr>
      <w:r>
        <w:rPr>
          <w:rStyle w:val="FootnoteReference"/>
        </w:rPr>
        <w:footnoteRef/>
      </w:r>
      <w:r>
        <w:t xml:space="preserve"> </w:t>
      </w:r>
      <w:r w:rsidRPr="00F457B7">
        <w:rPr>
          <w:lang w:val="en-US"/>
        </w:rPr>
        <w:t>INQ00018</w:t>
      </w:r>
      <w:r w:rsidR="00C83D58">
        <w:rPr>
          <w:lang w:val="en-US"/>
        </w:rPr>
        <w:t>8749</w:t>
      </w:r>
    </w:p>
  </w:footnote>
  <w:footnote w:id="19">
    <w:p w14:paraId="0C234F97" w14:textId="77777777" w:rsidR="00CD1632" w:rsidRDefault="00CD1632" w:rsidP="00CD1632">
      <w:pPr>
        <w:pStyle w:val="FootnoteText"/>
      </w:pPr>
      <w:r>
        <w:rPr>
          <w:rStyle w:val="FootnoteReference"/>
        </w:rPr>
        <w:footnoteRef/>
      </w:r>
      <w:r>
        <w:t xml:space="preserve"> CMO evidence Ln 22 etc seq. Page 118 of the Transcript from 8 May 2024</w:t>
      </w:r>
    </w:p>
  </w:footnote>
  <w:footnote w:id="20">
    <w:p w14:paraId="41B0FF8A" w14:textId="77777777" w:rsidR="00CD1632" w:rsidRDefault="00CD1632" w:rsidP="00CD1632">
      <w:pPr>
        <w:pStyle w:val="FootnoteText"/>
      </w:pPr>
      <w:r>
        <w:rPr>
          <w:rStyle w:val="FootnoteReference"/>
        </w:rPr>
        <w:footnoteRef/>
      </w:r>
      <w:r>
        <w:t xml:space="preserve"> CMO evidence Ln 3 etc seq. Page 119 of the Transcript from 8 May 2024</w:t>
      </w:r>
    </w:p>
  </w:footnote>
  <w:footnote w:id="21">
    <w:p w14:paraId="3E482700" w14:textId="77777777" w:rsidR="00CD1632" w:rsidRDefault="00CD1632" w:rsidP="00CD1632">
      <w:pPr>
        <w:pStyle w:val="FootnoteText"/>
      </w:pPr>
      <w:r>
        <w:rPr>
          <w:rStyle w:val="FootnoteReference"/>
        </w:rPr>
        <w:footnoteRef/>
      </w:r>
      <w:r>
        <w:t xml:space="preserve"> Statement of Anthony Harbinson M2c para 16-18</w:t>
      </w:r>
    </w:p>
  </w:footnote>
  <w:footnote w:id="22">
    <w:p w14:paraId="710D0AFB" w14:textId="77777777" w:rsidR="00CD1632" w:rsidRDefault="00CD1632" w:rsidP="00CD1632">
      <w:pPr>
        <w:pStyle w:val="FootnoteText"/>
      </w:pPr>
      <w:r>
        <w:rPr>
          <w:rStyle w:val="FootnoteReference"/>
        </w:rPr>
        <w:footnoteRef/>
      </w:r>
      <w:r>
        <w:t xml:space="preserve"> Para 22 of CCG(NI) Protocol</w:t>
      </w:r>
    </w:p>
  </w:footnote>
  <w:footnote w:id="23">
    <w:p w14:paraId="1C6B332D" w14:textId="77777777" w:rsidR="00CD1632" w:rsidRDefault="00CD1632" w:rsidP="00CD1632">
      <w:pPr>
        <w:pStyle w:val="FootnoteText"/>
      </w:pPr>
      <w:r>
        <w:rPr>
          <w:rStyle w:val="FootnoteReference"/>
        </w:rPr>
        <w:footnoteRef/>
      </w:r>
      <w:r>
        <w:t xml:space="preserve"> Para 25 &amp; 26 of CCG(NI) Protocol</w:t>
      </w:r>
    </w:p>
  </w:footnote>
  <w:footnote w:id="24">
    <w:p w14:paraId="5796FFB7" w14:textId="77777777" w:rsidR="00CD1632" w:rsidRDefault="00CD1632" w:rsidP="00CD1632">
      <w:pPr>
        <w:pStyle w:val="FootnoteText"/>
      </w:pPr>
      <w:r>
        <w:rPr>
          <w:rStyle w:val="FootnoteReference"/>
        </w:rPr>
        <w:footnoteRef/>
      </w:r>
      <w:r>
        <w:t xml:space="preserve"> </w:t>
      </w:r>
      <w:r w:rsidRPr="00332FA0">
        <w:t>INQ000218470</w:t>
      </w:r>
    </w:p>
  </w:footnote>
  <w:footnote w:id="25">
    <w:p w14:paraId="56DCFC6D" w14:textId="77777777" w:rsidR="00CD1632" w:rsidRDefault="00CD1632" w:rsidP="00CD1632">
      <w:pPr>
        <w:pStyle w:val="FootnoteText"/>
      </w:pPr>
      <w:r>
        <w:rPr>
          <w:rStyle w:val="FootnoteReference"/>
        </w:rPr>
        <w:footnoteRef/>
      </w:r>
      <w:r>
        <w:t xml:space="preserve"> An incorrect month is given for this, referencing 27 February 2020 rather than 27 January 2020. </w:t>
      </w:r>
    </w:p>
  </w:footnote>
  <w:footnote w:id="26">
    <w:p w14:paraId="76CCBF7B" w14:textId="77777777" w:rsidR="00CD1632" w:rsidRDefault="00CD1632" w:rsidP="00CD1632">
      <w:pPr>
        <w:pStyle w:val="FootnoteText"/>
      </w:pPr>
      <w:r>
        <w:rPr>
          <w:rStyle w:val="FootnoteReference"/>
        </w:rPr>
        <w:footnoteRef/>
      </w:r>
      <w:r>
        <w:t xml:space="preserve"> INQ000185378</w:t>
      </w:r>
    </w:p>
  </w:footnote>
  <w:footnote w:id="27">
    <w:p w14:paraId="27DAC261" w14:textId="77777777" w:rsidR="00CD1632" w:rsidRDefault="00CD1632" w:rsidP="00CD1632">
      <w:pPr>
        <w:pStyle w:val="FootnoteText"/>
      </w:pPr>
      <w:r>
        <w:rPr>
          <w:rStyle w:val="FootnoteReference"/>
        </w:rPr>
        <w:footnoteRef/>
      </w:r>
      <w:r>
        <w:t xml:space="preserve"> Statement of Richard Pengelly M2c para 94</w:t>
      </w:r>
    </w:p>
  </w:footnote>
  <w:footnote w:id="28">
    <w:p w14:paraId="0E5FBDE9" w14:textId="77777777" w:rsidR="00CD1632" w:rsidRDefault="00CD1632" w:rsidP="00CD1632">
      <w:pPr>
        <w:pStyle w:val="FootnoteText"/>
      </w:pPr>
      <w:r>
        <w:rPr>
          <w:rStyle w:val="FootnoteReference"/>
        </w:rPr>
        <w:footnoteRef/>
      </w:r>
      <w:r>
        <w:t xml:space="preserve"> INQ000425536</w:t>
      </w:r>
    </w:p>
  </w:footnote>
  <w:footnote w:id="29">
    <w:p w14:paraId="0A054FBE" w14:textId="77777777" w:rsidR="00CD1632" w:rsidRDefault="00CD1632" w:rsidP="00CD1632">
      <w:pPr>
        <w:pStyle w:val="FootnoteText"/>
      </w:pPr>
      <w:r>
        <w:rPr>
          <w:rStyle w:val="FootnoteReference"/>
        </w:rPr>
        <w:footnoteRef/>
      </w:r>
      <w:r>
        <w:t xml:space="preserve"> Activated 16 March 2020</w:t>
      </w:r>
    </w:p>
  </w:footnote>
  <w:footnote w:id="30">
    <w:p w14:paraId="08D0D311" w14:textId="77777777" w:rsidR="00CD1632" w:rsidRDefault="00CD1632" w:rsidP="00CD1632">
      <w:pPr>
        <w:pStyle w:val="FootnoteText"/>
      </w:pPr>
      <w:r>
        <w:rPr>
          <w:rStyle w:val="FootnoteReference"/>
        </w:rPr>
        <w:footnoteRef/>
      </w:r>
      <w:r>
        <w:t xml:space="preserve"> Activated 18 March 2020</w:t>
      </w:r>
    </w:p>
  </w:footnote>
  <w:footnote w:id="31">
    <w:p w14:paraId="4E3DD8A4" w14:textId="77777777" w:rsidR="00CD1632" w:rsidRDefault="00CD1632" w:rsidP="00CD1632">
      <w:pPr>
        <w:pStyle w:val="FootnoteText"/>
      </w:pPr>
      <w:r>
        <w:rPr>
          <w:rStyle w:val="FootnoteReference"/>
        </w:rPr>
        <w:footnoteRef/>
      </w:r>
      <w:r>
        <w:t xml:space="preserve"> </w:t>
      </w:r>
      <w:r w:rsidRPr="00DA5BC1">
        <w:t>INQ0002746890</w:t>
      </w:r>
    </w:p>
  </w:footnote>
  <w:footnote w:id="32">
    <w:p w14:paraId="35ACDE86" w14:textId="77777777" w:rsidR="00CD1632" w:rsidRDefault="00CD1632" w:rsidP="00CD1632">
      <w:pPr>
        <w:pStyle w:val="FootnoteText"/>
      </w:pPr>
      <w:r>
        <w:rPr>
          <w:rStyle w:val="FootnoteReference"/>
        </w:rPr>
        <w:footnoteRef/>
      </w:r>
      <w:r>
        <w:t xml:space="preserve"> </w:t>
      </w:r>
      <w:r w:rsidRPr="00947E9C">
        <w:t>INQ000183558</w:t>
      </w:r>
    </w:p>
  </w:footnote>
  <w:footnote w:id="33">
    <w:p w14:paraId="43E19771" w14:textId="77777777" w:rsidR="00CD1632" w:rsidRDefault="00CD1632" w:rsidP="00CD1632">
      <w:pPr>
        <w:pStyle w:val="FootnoteText"/>
      </w:pPr>
      <w:r>
        <w:rPr>
          <w:rStyle w:val="FootnoteReference"/>
        </w:rPr>
        <w:footnoteRef/>
      </w:r>
      <w:r>
        <w:t xml:space="preserve"> 24 January (</w:t>
      </w:r>
      <w:r w:rsidRPr="00D31E44">
        <w:t>INQ000390209</w:t>
      </w:r>
      <w:r>
        <w:t>), 29 January (</w:t>
      </w:r>
      <w:r w:rsidRPr="00DB63AC">
        <w:t>INQ000426784</w:t>
      </w:r>
      <w:r>
        <w:t xml:space="preserve">), 3 February </w:t>
      </w:r>
      <w:r w:rsidRPr="006D6091">
        <w:t>(</w:t>
      </w:r>
      <w:r w:rsidRPr="001E3145">
        <w:rPr>
          <w:color w:val="000000" w:themeColor="text1"/>
          <w:u w:val="single"/>
        </w:rPr>
        <w:t xml:space="preserve">INQ000426785), </w:t>
      </w:r>
      <w:r w:rsidRPr="001E3145">
        <w:rPr>
          <w:color w:val="000000" w:themeColor="text1"/>
        </w:rPr>
        <w:t xml:space="preserve">26 </w:t>
      </w:r>
      <w:r>
        <w:t>February (</w:t>
      </w:r>
      <w:r w:rsidRPr="005450F6">
        <w:t>INQ000429566</w:t>
      </w:r>
      <w:r>
        <w:t>), 28 February (</w:t>
      </w:r>
      <w:r w:rsidRPr="005450F6">
        <w:t>INQ000103637</w:t>
      </w:r>
      <w:r>
        <w:t>), 2 March (</w:t>
      </w:r>
      <w:r w:rsidRPr="00236263">
        <w:t>INQ000103637</w:t>
      </w:r>
      <w:r>
        <w:t>), and 19 March (</w:t>
      </w:r>
      <w:r w:rsidRPr="0051477D">
        <w:t>INQ000065737</w:t>
      </w:r>
      <w:r>
        <w:t xml:space="preserve"> &amp; </w:t>
      </w:r>
      <w:r w:rsidRPr="002A3D76">
        <w:t>INQ000103640</w:t>
      </w:r>
      <w:r>
        <w:t>).</w:t>
      </w:r>
    </w:p>
  </w:footnote>
  <w:footnote w:id="34">
    <w:p w14:paraId="407B9EF2" w14:textId="77777777" w:rsidR="00CD1632" w:rsidRDefault="00CD1632" w:rsidP="00CD1632">
      <w:pPr>
        <w:pStyle w:val="FootnoteText"/>
      </w:pPr>
      <w:r>
        <w:rPr>
          <w:rStyle w:val="FootnoteReference"/>
        </w:rPr>
        <w:footnoteRef/>
      </w:r>
      <w:r>
        <w:t xml:space="preserve"> CMO 2</w:t>
      </w:r>
      <w:r w:rsidRPr="002B58A4">
        <w:rPr>
          <w:vertAlign w:val="superscript"/>
        </w:rPr>
        <w:t>nd</w:t>
      </w:r>
      <w:r>
        <w:t xml:space="preserve"> Statement M2c para 59</w:t>
      </w:r>
    </w:p>
  </w:footnote>
  <w:footnote w:id="35">
    <w:p w14:paraId="618D7C09" w14:textId="77777777" w:rsidR="00CD1632" w:rsidRDefault="00CD1632" w:rsidP="00CD1632">
      <w:pPr>
        <w:pStyle w:val="FootnoteText"/>
      </w:pPr>
      <w:r>
        <w:rPr>
          <w:rStyle w:val="FootnoteReference"/>
        </w:rPr>
        <w:footnoteRef/>
      </w:r>
      <w:r>
        <w:t xml:space="preserve"> CMO 2</w:t>
      </w:r>
      <w:r w:rsidRPr="002B58A4">
        <w:rPr>
          <w:vertAlign w:val="superscript"/>
        </w:rPr>
        <w:t>nd</w:t>
      </w:r>
      <w:r>
        <w:t xml:space="preserve"> Statement M2c para 63</w:t>
      </w:r>
    </w:p>
  </w:footnote>
  <w:footnote w:id="36">
    <w:p w14:paraId="0BDC421C" w14:textId="77777777" w:rsidR="00CD1632" w:rsidRPr="00530492" w:rsidRDefault="00CD1632" w:rsidP="00CD1632">
      <w:pPr>
        <w:pStyle w:val="FootnoteText"/>
        <w:rPr>
          <w:lang w:val="en-US"/>
        </w:rPr>
      </w:pPr>
      <w:r>
        <w:rPr>
          <w:rStyle w:val="FootnoteReference"/>
        </w:rPr>
        <w:footnoteRef/>
      </w:r>
      <w:r>
        <w:t xml:space="preserve"> </w:t>
      </w:r>
      <w:r w:rsidRPr="00346798">
        <w:t xml:space="preserve">This temporary governance model is described </w:t>
      </w:r>
      <w:r>
        <w:t xml:space="preserve">in </w:t>
      </w:r>
      <w:r w:rsidRPr="00346798">
        <w:t xml:space="preserve">paragraphs </w:t>
      </w:r>
      <w:r>
        <w:t xml:space="preserve">at </w:t>
      </w:r>
      <w:r w:rsidRPr="00346798">
        <w:t>6 to 19 in the DoH’s Wave 2 Corporate Statement.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226"/>
    <w:multiLevelType w:val="hybridMultilevel"/>
    <w:tmpl w:val="ECF4D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252FD8"/>
    <w:multiLevelType w:val="multilevel"/>
    <w:tmpl w:val="8CE47E3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A36"/>
    <w:multiLevelType w:val="hybridMultilevel"/>
    <w:tmpl w:val="E0BAB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6FC6E34">
      <w:numFmt w:val="bullet"/>
      <w:lvlText w:val="•"/>
      <w:lvlJc w:val="left"/>
      <w:pPr>
        <w:ind w:left="2340" w:hanging="360"/>
      </w:pPr>
      <w:rPr>
        <w:rFonts w:ascii="Book Antiqua" w:eastAsiaTheme="minorHAnsi" w:hAnsi="Book Antiqua"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C42C8"/>
    <w:multiLevelType w:val="multilevel"/>
    <w:tmpl w:val="787A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C797F"/>
    <w:multiLevelType w:val="hybridMultilevel"/>
    <w:tmpl w:val="957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E2406"/>
    <w:multiLevelType w:val="hybridMultilevel"/>
    <w:tmpl w:val="593CE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41569"/>
    <w:multiLevelType w:val="multilevel"/>
    <w:tmpl w:val="7C68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C17157"/>
    <w:multiLevelType w:val="hybridMultilevel"/>
    <w:tmpl w:val="E2707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1E259D"/>
    <w:multiLevelType w:val="hybridMultilevel"/>
    <w:tmpl w:val="3E3284F6"/>
    <w:lvl w:ilvl="0" w:tplc="67209A5A">
      <w:start w:val="1"/>
      <w:numFmt w:val="bullet"/>
      <w:lvlText w:val=""/>
      <w:lvlJc w:val="left"/>
      <w:pPr>
        <w:ind w:left="720" w:hanging="360"/>
      </w:pPr>
      <w:rPr>
        <w:rFonts w:ascii="Symbol" w:hAnsi="Symbol"/>
      </w:rPr>
    </w:lvl>
    <w:lvl w:ilvl="1" w:tplc="F17E00EC">
      <w:start w:val="1"/>
      <w:numFmt w:val="bullet"/>
      <w:lvlText w:val=""/>
      <w:lvlJc w:val="left"/>
      <w:pPr>
        <w:ind w:left="720" w:hanging="360"/>
      </w:pPr>
      <w:rPr>
        <w:rFonts w:ascii="Symbol" w:hAnsi="Symbol"/>
      </w:rPr>
    </w:lvl>
    <w:lvl w:ilvl="2" w:tplc="C93CB462">
      <w:start w:val="1"/>
      <w:numFmt w:val="bullet"/>
      <w:lvlText w:val=""/>
      <w:lvlJc w:val="left"/>
      <w:pPr>
        <w:ind w:left="720" w:hanging="360"/>
      </w:pPr>
      <w:rPr>
        <w:rFonts w:ascii="Symbol" w:hAnsi="Symbol"/>
      </w:rPr>
    </w:lvl>
    <w:lvl w:ilvl="3" w:tplc="C8D0708E">
      <w:start w:val="1"/>
      <w:numFmt w:val="bullet"/>
      <w:lvlText w:val=""/>
      <w:lvlJc w:val="left"/>
      <w:pPr>
        <w:ind w:left="720" w:hanging="360"/>
      </w:pPr>
      <w:rPr>
        <w:rFonts w:ascii="Symbol" w:hAnsi="Symbol"/>
      </w:rPr>
    </w:lvl>
    <w:lvl w:ilvl="4" w:tplc="78D2AB38">
      <w:start w:val="1"/>
      <w:numFmt w:val="bullet"/>
      <w:lvlText w:val=""/>
      <w:lvlJc w:val="left"/>
      <w:pPr>
        <w:ind w:left="720" w:hanging="360"/>
      </w:pPr>
      <w:rPr>
        <w:rFonts w:ascii="Symbol" w:hAnsi="Symbol"/>
      </w:rPr>
    </w:lvl>
    <w:lvl w:ilvl="5" w:tplc="F88EE236">
      <w:start w:val="1"/>
      <w:numFmt w:val="bullet"/>
      <w:lvlText w:val=""/>
      <w:lvlJc w:val="left"/>
      <w:pPr>
        <w:ind w:left="720" w:hanging="360"/>
      </w:pPr>
      <w:rPr>
        <w:rFonts w:ascii="Symbol" w:hAnsi="Symbol"/>
      </w:rPr>
    </w:lvl>
    <w:lvl w:ilvl="6" w:tplc="D520C4C0">
      <w:start w:val="1"/>
      <w:numFmt w:val="bullet"/>
      <w:lvlText w:val=""/>
      <w:lvlJc w:val="left"/>
      <w:pPr>
        <w:ind w:left="720" w:hanging="360"/>
      </w:pPr>
      <w:rPr>
        <w:rFonts w:ascii="Symbol" w:hAnsi="Symbol"/>
      </w:rPr>
    </w:lvl>
    <w:lvl w:ilvl="7" w:tplc="9514CB28">
      <w:start w:val="1"/>
      <w:numFmt w:val="bullet"/>
      <w:lvlText w:val=""/>
      <w:lvlJc w:val="left"/>
      <w:pPr>
        <w:ind w:left="720" w:hanging="360"/>
      </w:pPr>
      <w:rPr>
        <w:rFonts w:ascii="Symbol" w:hAnsi="Symbol"/>
      </w:rPr>
    </w:lvl>
    <w:lvl w:ilvl="8" w:tplc="4B08E0FC">
      <w:start w:val="1"/>
      <w:numFmt w:val="bullet"/>
      <w:lvlText w:val=""/>
      <w:lvlJc w:val="left"/>
      <w:pPr>
        <w:ind w:left="720" w:hanging="360"/>
      </w:pPr>
      <w:rPr>
        <w:rFonts w:ascii="Symbol" w:hAnsi="Symbol"/>
      </w:rPr>
    </w:lvl>
  </w:abstractNum>
  <w:abstractNum w:abstractNumId="9" w15:restartNumberingAfterBreak="0">
    <w:nsid w:val="5ED273DC"/>
    <w:multiLevelType w:val="multilevel"/>
    <w:tmpl w:val="7C68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07BAB"/>
    <w:multiLevelType w:val="hybridMultilevel"/>
    <w:tmpl w:val="4942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152662">
    <w:abstractNumId w:val="0"/>
  </w:num>
  <w:num w:numId="2" w16cid:durableId="677385708">
    <w:abstractNumId w:val="5"/>
  </w:num>
  <w:num w:numId="3" w16cid:durableId="561255631">
    <w:abstractNumId w:val="10"/>
  </w:num>
  <w:num w:numId="4" w16cid:durableId="876089049">
    <w:abstractNumId w:val="4"/>
  </w:num>
  <w:num w:numId="5" w16cid:durableId="2034187385">
    <w:abstractNumId w:val="2"/>
  </w:num>
  <w:num w:numId="6" w16cid:durableId="977803774">
    <w:abstractNumId w:val="3"/>
  </w:num>
  <w:num w:numId="7" w16cid:durableId="739212539">
    <w:abstractNumId w:val="1"/>
  </w:num>
  <w:num w:numId="8" w16cid:durableId="1554122883">
    <w:abstractNumId w:val="8"/>
  </w:num>
  <w:num w:numId="9" w16cid:durableId="554044871">
    <w:abstractNumId w:val="9"/>
  </w:num>
  <w:num w:numId="10" w16cid:durableId="1310086444">
    <w:abstractNumId w:val="7"/>
  </w:num>
  <w:num w:numId="11" w16cid:durableId="596520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32"/>
    <w:rsid w:val="000F256E"/>
    <w:rsid w:val="001E3145"/>
    <w:rsid w:val="002822CB"/>
    <w:rsid w:val="00325F20"/>
    <w:rsid w:val="00580A84"/>
    <w:rsid w:val="005B2D3C"/>
    <w:rsid w:val="006C08BC"/>
    <w:rsid w:val="00802323"/>
    <w:rsid w:val="008D5D80"/>
    <w:rsid w:val="008F6988"/>
    <w:rsid w:val="0095584E"/>
    <w:rsid w:val="00B47376"/>
    <w:rsid w:val="00BF445C"/>
    <w:rsid w:val="00C83D58"/>
    <w:rsid w:val="00CD1632"/>
    <w:rsid w:val="00D87D78"/>
    <w:rsid w:val="00EB3C32"/>
    <w:rsid w:val="00FB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2AFD"/>
  <w15:chartTrackingRefBased/>
  <w15:docId w15:val="{19BB54D5-E4D1-F54E-AA73-6816D45B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2"/>
  </w:style>
  <w:style w:type="paragraph" w:styleId="Heading1">
    <w:name w:val="heading 1"/>
    <w:basedOn w:val="Normal"/>
    <w:next w:val="Normal"/>
    <w:link w:val="Heading1Char"/>
    <w:uiPriority w:val="9"/>
    <w:qFormat/>
    <w:rsid w:val="00CD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32"/>
    <w:rPr>
      <w:rFonts w:eastAsiaTheme="majorEastAsia" w:cstheme="majorBidi"/>
      <w:color w:val="272727" w:themeColor="text1" w:themeTint="D8"/>
    </w:rPr>
  </w:style>
  <w:style w:type="paragraph" w:styleId="Title">
    <w:name w:val="Title"/>
    <w:basedOn w:val="Normal"/>
    <w:next w:val="Normal"/>
    <w:link w:val="TitleChar"/>
    <w:uiPriority w:val="10"/>
    <w:qFormat/>
    <w:rsid w:val="00CD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32"/>
    <w:pPr>
      <w:spacing w:before="160"/>
      <w:jc w:val="center"/>
    </w:pPr>
    <w:rPr>
      <w:i/>
      <w:iCs/>
      <w:color w:val="404040" w:themeColor="text1" w:themeTint="BF"/>
    </w:rPr>
  </w:style>
  <w:style w:type="character" w:customStyle="1" w:styleId="QuoteChar">
    <w:name w:val="Quote Char"/>
    <w:basedOn w:val="DefaultParagraphFont"/>
    <w:link w:val="Quote"/>
    <w:uiPriority w:val="29"/>
    <w:rsid w:val="00CD1632"/>
    <w:rPr>
      <w:i/>
      <w:iCs/>
      <w:color w:val="404040" w:themeColor="text1" w:themeTint="BF"/>
    </w:rPr>
  </w:style>
  <w:style w:type="paragraph" w:styleId="ListParagraph">
    <w:name w:val="List Paragraph"/>
    <w:basedOn w:val="Normal"/>
    <w:uiPriority w:val="34"/>
    <w:qFormat/>
    <w:rsid w:val="00CD1632"/>
    <w:pPr>
      <w:ind w:left="720"/>
      <w:contextualSpacing/>
    </w:pPr>
  </w:style>
  <w:style w:type="character" w:styleId="IntenseEmphasis">
    <w:name w:val="Intense Emphasis"/>
    <w:basedOn w:val="DefaultParagraphFont"/>
    <w:uiPriority w:val="21"/>
    <w:qFormat/>
    <w:rsid w:val="00CD1632"/>
    <w:rPr>
      <w:i/>
      <w:iCs/>
      <w:color w:val="0F4761" w:themeColor="accent1" w:themeShade="BF"/>
    </w:rPr>
  </w:style>
  <w:style w:type="paragraph" w:styleId="IntenseQuote">
    <w:name w:val="Intense Quote"/>
    <w:basedOn w:val="Normal"/>
    <w:next w:val="Normal"/>
    <w:link w:val="IntenseQuoteChar"/>
    <w:uiPriority w:val="30"/>
    <w:qFormat/>
    <w:rsid w:val="00CD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32"/>
    <w:rPr>
      <w:i/>
      <w:iCs/>
      <w:color w:val="0F4761" w:themeColor="accent1" w:themeShade="BF"/>
    </w:rPr>
  </w:style>
  <w:style w:type="character" w:styleId="IntenseReference">
    <w:name w:val="Intense Reference"/>
    <w:basedOn w:val="DefaultParagraphFont"/>
    <w:uiPriority w:val="32"/>
    <w:qFormat/>
    <w:rsid w:val="00CD1632"/>
    <w:rPr>
      <w:b/>
      <w:bCs/>
      <w:smallCaps/>
      <w:color w:val="0F4761" w:themeColor="accent1" w:themeShade="BF"/>
      <w:spacing w:val="5"/>
    </w:rPr>
  </w:style>
  <w:style w:type="character" w:styleId="CommentReference">
    <w:name w:val="annotation reference"/>
    <w:basedOn w:val="DefaultParagraphFont"/>
    <w:uiPriority w:val="99"/>
    <w:semiHidden/>
    <w:unhideWhenUsed/>
    <w:rsid w:val="00CD1632"/>
    <w:rPr>
      <w:sz w:val="16"/>
      <w:szCs w:val="16"/>
    </w:rPr>
  </w:style>
  <w:style w:type="paragraph" w:styleId="CommentText">
    <w:name w:val="annotation text"/>
    <w:basedOn w:val="Normal"/>
    <w:link w:val="CommentTextChar"/>
    <w:uiPriority w:val="99"/>
    <w:unhideWhenUsed/>
    <w:rsid w:val="00CD1632"/>
    <w:pPr>
      <w:spacing w:line="240" w:lineRule="auto"/>
    </w:pPr>
    <w:rPr>
      <w:sz w:val="20"/>
      <w:szCs w:val="20"/>
    </w:rPr>
  </w:style>
  <w:style w:type="character" w:customStyle="1" w:styleId="CommentTextChar">
    <w:name w:val="Comment Text Char"/>
    <w:basedOn w:val="DefaultParagraphFont"/>
    <w:link w:val="CommentText"/>
    <w:uiPriority w:val="99"/>
    <w:rsid w:val="00CD1632"/>
    <w:rPr>
      <w:sz w:val="20"/>
      <w:szCs w:val="20"/>
    </w:rPr>
  </w:style>
  <w:style w:type="paragraph" w:styleId="CommentSubject">
    <w:name w:val="annotation subject"/>
    <w:basedOn w:val="CommentText"/>
    <w:next w:val="CommentText"/>
    <w:link w:val="CommentSubjectChar"/>
    <w:uiPriority w:val="99"/>
    <w:semiHidden/>
    <w:unhideWhenUsed/>
    <w:rsid w:val="00CD1632"/>
    <w:rPr>
      <w:b/>
      <w:bCs/>
    </w:rPr>
  </w:style>
  <w:style w:type="character" w:customStyle="1" w:styleId="CommentSubjectChar">
    <w:name w:val="Comment Subject Char"/>
    <w:basedOn w:val="CommentTextChar"/>
    <w:link w:val="CommentSubject"/>
    <w:uiPriority w:val="99"/>
    <w:semiHidden/>
    <w:rsid w:val="00CD1632"/>
    <w:rPr>
      <w:b/>
      <w:bCs/>
      <w:sz w:val="20"/>
      <w:szCs w:val="20"/>
    </w:rPr>
  </w:style>
  <w:style w:type="paragraph" w:styleId="FootnoteText">
    <w:name w:val="footnote text"/>
    <w:basedOn w:val="Normal"/>
    <w:link w:val="FootnoteTextChar"/>
    <w:uiPriority w:val="99"/>
    <w:semiHidden/>
    <w:unhideWhenUsed/>
    <w:rsid w:val="00CD1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632"/>
    <w:rPr>
      <w:sz w:val="20"/>
      <w:szCs w:val="20"/>
    </w:rPr>
  </w:style>
  <w:style w:type="character" w:styleId="FootnoteReference">
    <w:name w:val="footnote reference"/>
    <w:basedOn w:val="DefaultParagraphFont"/>
    <w:uiPriority w:val="99"/>
    <w:semiHidden/>
    <w:unhideWhenUsed/>
    <w:rsid w:val="00CD1632"/>
    <w:rPr>
      <w:vertAlign w:val="superscript"/>
    </w:rPr>
  </w:style>
  <w:style w:type="character" w:styleId="Hyperlink">
    <w:name w:val="Hyperlink"/>
    <w:basedOn w:val="DefaultParagraphFont"/>
    <w:uiPriority w:val="99"/>
    <w:unhideWhenUsed/>
    <w:rsid w:val="00CD1632"/>
    <w:rPr>
      <w:color w:val="467886" w:themeColor="hyperlink"/>
      <w:u w:val="single"/>
    </w:rPr>
  </w:style>
  <w:style w:type="character" w:styleId="UnresolvedMention">
    <w:name w:val="Unresolved Mention"/>
    <w:basedOn w:val="DefaultParagraphFont"/>
    <w:uiPriority w:val="99"/>
    <w:semiHidden/>
    <w:unhideWhenUsed/>
    <w:rsid w:val="00CD1632"/>
    <w:rPr>
      <w:color w:val="605E5C"/>
      <w:shd w:val="clear" w:color="auto" w:fill="E1DFDD"/>
    </w:rPr>
  </w:style>
  <w:style w:type="paragraph" w:styleId="NormalWeb">
    <w:name w:val="Normal (Web)"/>
    <w:basedOn w:val="Normal"/>
    <w:uiPriority w:val="99"/>
    <w:unhideWhenUsed/>
    <w:rsid w:val="00CD1632"/>
    <w:pPr>
      <w:spacing w:after="0" w:line="240" w:lineRule="auto"/>
    </w:pPr>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CD1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632"/>
  </w:style>
  <w:style w:type="character" w:styleId="PageNumber">
    <w:name w:val="page number"/>
    <w:basedOn w:val="DefaultParagraphFont"/>
    <w:uiPriority w:val="99"/>
    <w:semiHidden/>
    <w:unhideWhenUsed/>
    <w:rsid w:val="00CD1632"/>
  </w:style>
  <w:style w:type="paragraph" w:styleId="Revision">
    <w:name w:val="Revision"/>
    <w:hidden/>
    <w:uiPriority w:val="99"/>
    <w:semiHidden/>
    <w:rsid w:val="00CD1632"/>
    <w:pPr>
      <w:spacing w:after="0" w:line="240" w:lineRule="auto"/>
    </w:pPr>
  </w:style>
  <w:style w:type="character" w:styleId="FollowedHyperlink">
    <w:name w:val="FollowedHyperlink"/>
    <w:basedOn w:val="DefaultParagraphFont"/>
    <w:uiPriority w:val="99"/>
    <w:semiHidden/>
    <w:unhideWhenUsed/>
    <w:rsid w:val="00CD16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populationandmigration/populationestimates/bulletins/annualmidyearpopulationestimates/mid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06EA73125BB41A6E5CA6BDDB1175E" ma:contentTypeVersion="5" ma:contentTypeDescription="Create a new document." ma:contentTypeScope="" ma:versionID="cc19068d2de87cf09b7a1b27b1f442bb">
  <xsd:schema xmlns:xsd="http://www.w3.org/2001/XMLSchema" xmlns:xs="http://www.w3.org/2001/XMLSchema" xmlns:p="http://schemas.microsoft.com/office/2006/metadata/properties" xmlns:ns3="d24affa9-16a3-4110-9bb0-df566fae6ffa" targetNamespace="http://schemas.microsoft.com/office/2006/metadata/properties" ma:root="true" ma:fieldsID="c3942cfb0290e4465709ef98a4496739" ns3:_="">
    <xsd:import namespace="d24affa9-16a3-4110-9bb0-df566fae6ff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affa9-16a3-4110-9bb0-df566fae6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4affa9-16a3-4110-9bb0-df566fae6ffa" xsi:nil="true"/>
  </documentManagement>
</p:properties>
</file>

<file path=customXml/itemProps1.xml><?xml version="1.0" encoding="utf-8"?>
<ds:datastoreItem xmlns:ds="http://schemas.openxmlformats.org/officeDocument/2006/customXml" ds:itemID="{70566FD1-A985-473E-9DB9-D8D90043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affa9-16a3-4110-9bb0-df566fae6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D6A90-A75C-4C88-A23B-D783384906DD}">
  <ds:schemaRefs>
    <ds:schemaRef ds:uri="http://schemas.microsoft.com/sharepoint/v3/contenttype/forms"/>
  </ds:schemaRefs>
</ds:datastoreItem>
</file>

<file path=customXml/itemProps3.xml><?xml version="1.0" encoding="utf-8"?>
<ds:datastoreItem xmlns:ds="http://schemas.openxmlformats.org/officeDocument/2006/customXml" ds:itemID="{C3D36A49-5420-4BD5-8903-90DEA37F4254}">
  <ds:schemaRefs>
    <ds:schemaRef ds:uri="http://schemas.microsoft.com/office/2006/metadata/properties"/>
    <ds:schemaRef ds:uri="http://schemas.microsoft.com/office/infopath/2007/PartnerControls"/>
    <ds:schemaRef ds:uri="d24affa9-16a3-4110-9bb0-df566fae6ff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8529</Words>
  <Characters>44863</Characters>
  <Application>Microsoft Office Word</Application>
  <DocSecurity>0</DocSecurity>
  <Lines>815</Lines>
  <Paragraphs>131</Paragraphs>
  <ScaleCrop>false</ScaleCrop>
  <Company/>
  <LinksUpToDate>false</LinksUpToDate>
  <CharactersWithSpaces>53261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Neasa Murnaghan KC</dc:creator>
  <cp:keywords/>
  <dc:description/>
  <cp:lastModifiedBy>Cairns, Catherine (DoF)</cp:lastModifiedBy>
  <cp:revision>3</cp:revision>
  <dcterms:created xsi:type="dcterms:W3CDTF">2024-06-06T12:57:00Z</dcterms:created>
  <dcterms:modified xsi:type="dcterms:W3CDTF">2024-06-06T12:58:00Z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0x010100DFD06EA73125BB41A6E5CA6BDDB1175E</vt:lpwstr>
  </property>
</Properties>
</file>